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5FD7457" Type="http://schemas.openxmlformats.org/officeDocument/2006/relationships/officeDocument" Target="/word/document.xml" /><Relationship Id="coreR35FD7457" Type="http://schemas.openxmlformats.org/package/2006/relationships/metadata/core-properties" Target="/docProps/core.xml" /><Relationship Id="customR35FD745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Kat.8, S-FTP, J-02YSCH, AWG22/1,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2000 MHz. </w:t>
        <w:br w:type="textWrapping"/>
        <w:t>Übertrifft mit den elektrischen Übertragungseigenschaften die Anforderungen der</w:t>
        <w:br w:type="textWrapping"/>
        <w:t>ISO/IEC 11801,IEC 61156-9, EN 50173-1, DIN EN 50288-9-1, VDE 0819-9-1.</w:t>
        <w:br w:type="textWrapping"/>
        <w:t>Kann Verkabelungsstrecken der Channel Klasse D bis Klasse IIaufbauen.</w:t>
        <w:br w:type="textWrapping"/>
        <w:t xml:space="preserve">Verseilte Paare mit Schirmfolie (PiMF) und Gesamtgeflechtschirm. </w:t>
        <w:br w:type="textWrapping"/>
        <w:t>Einhaltung der Störaussendung nach Klasse B EN 55022 sowie die Störfestigkeit nach EN 55024. Übertragungen von 40 GbE/s über 30 m möglich.</w:t>
        <w:br w:type="textWrapping"/>
        <w:t xml:space="preserve">Spezifiziert bis 2000 MHz. </w:t>
        <w:br w:type="textWrapping"/>
        <w:t>Erfüllt die Anforderungen der Norm nach EN 50288-9-1, IEC 61156-7 und IEC 61156-9.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22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295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Mantel: halogenfreies, flammwidriges Material</w:t>
        <w:br w:type="textWrapping"/>
        <w:t>Aderisolierung: Polyethylen geschäumt, beschichtet (Foam/Skin PE)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8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788"/>
        <w:rPr>
          <w:rStyle w:val="C6"/>
          <w:rtl w:val="0"/>
        </w:rPr>
      </w:pPr>
      <w:r>
        <w:rPr>
          <w:rStyle w:val="C6"/>
          <w:rtl w:val="0"/>
        </w:rPr>
        <w:t>8,5</w:t>
      </w:r>
    </w:p>
    <w:p>
      <w:pPr>
        <w:pStyle w:val="P3"/>
        <w:framePr w:w="1384" w:h="331" w:hRule="exact" w:wrap="none" w:vAnchor="page" w:hAnchor="margin" w:x="7948" w:y="878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119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9119"/>
        <w:rPr>
          <w:rStyle w:val="C6"/>
          <w:rtl w:val="0"/>
        </w:rPr>
      </w:pPr>
      <w:r>
        <w:rPr>
          <w:rStyle w:val="C6"/>
          <w:rtl w:val="0"/>
        </w:rPr>
        <w:t>lila</w:t>
      </w:r>
    </w:p>
    <w:p>
      <w:pPr>
        <w:pStyle w:val="P3"/>
        <w:framePr w:w="1384" w:h="331" w:hRule="exact" w:wrap="none" w:vAnchor="page" w:hAnchor="margin" w:x="7948" w:y="91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50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450"/>
        <w:rPr>
          <w:rStyle w:val="C6"/>
          <w:rtl w:val="0"/>
        </w:rPr>
      </w:pPr>
      <w:r>
        <w:rPr>
          <w:rStyle w:val="C6"/>
          <w:rtl w:val="0"/>
        </w:rPr>
        <w:t>34</w:t>
      </w:r>
    </w:p>
    <w:p>
      <w:pPr>
        <w:pStyle w:val="P3"/>
        <w:framePr w:w="1354" w:h="331" w:hRule="exact" w:wrap="none" w:vAnchor="page" w:hAnchor="margin" w:x="7948" w:y="945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782"/>
        <w:rPr>
          <w:rStyle w:val="C6"/>
          <w:rtl w:val="0"/>
        </w:rPr>
      </w:pPr>
      <w:r>
        <w:rPr>
          <w:rStyle w:val="C6"/>
          <w:rtl w:val="0"/>
        </w:rPr>
        <w:t>83</w:t>
      </w:r>
    </w:p>
    <w:p>
      <w:pPr>
        <w:pStyle w:val="P3"/>
        <w:framePr w:w="1384" w:h="331" w:hRule="exact" w:wrap="none" w:vAnchor="page" w:hAnchor="margin" w:x="7948" w:y="9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10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10113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84" w:h="331" w:hRule="exact" w:wrap="none" w:vAnchor="page" w:hAnchor="margin" w:x="7948" w:y="10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444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444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775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775"/>
        <w:rPr>
          <w:rStyle w:val="C6"/>
          <w:rtl w:val="0"/>
        </w:rPr>
      </w:pPr>
      <w:r>
        <w:rPr>
          <w:rStyle w:val="C6"/>
          <w:rtl w:val="0"/>
        </w:rPr>
        <w:t>Cca</w:t>
      </w:r>
    </w:p>
    <w:p>
      <w:pPr>
        <w:pStyle w:val="P3"/>
        <w:framePr w:w="1354" w:h="331" w:hRule="exact" w:wrap="none" w:vAnchor="page" w:hAnchor="margin" w:x="7948" w:y="107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106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1106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11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438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438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4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769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769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76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100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2100"/>
        <w:rPr>
          <w:rStyle w:val="C6"/>
          <w:rtl w:val="0"/>
        </w:rPr>
      </w:pPr>
      <w:r>
        <w:rPr>
          <w:rStyle w:val="C6"/>
          <w:rtl w:val="0"/>
        </w:rPr>
        <w:t>0,67MJ/0,186kWh</w:t>
      </w:r>
    </w:p>
    <w:p>
      <w:pPr>
        <w:pStyle w:val="P3"/>
        <w:framePr w:w="1354" w:h="331" w:hRule="exact" w:wrap="none" w:vAnchor="page" w:hAnchor="margin" w:x="7948" w:y="12100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431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331" w:hRule="exact" w:wrap="none" w:vAnchor="page" w:hAnchor="margin" w:x="4363" w:y="12431"/>
        <w:rPr>
          <w:rStyle w:val="C6"/>
          <w:rtl w:val="0"/>
        </w:rPr>
      </w:pPr>
      <w:r>
        <w:rPr>
          <w:rStyle w:val="C6"/>
          <w:rtl w:val="0"/>
        </w:rPr>
        <w:t>Kategorie 8.2 IEC 61156-9</w:t>
      </w:r>
    </w:p>
    <w:p>
      <w:pPr>
        <w:pStyle w:val="P3"/>
        <w:framePr w:w="1384" w:h="331" w:hRule="exact" w:wrap="none" w:vAnchor="page" w:hAnchor="margin" w:x="7948" w:y="124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67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67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296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98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9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298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29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29"/>
        <w:rPr>
          <w:rStyle w:val="C6"/>
          <w:rtl w:val="0"/>
        </w:rPr>
      </w:pPr>
      <w:r>
        <w:rPr>
          <w:rStyle w:val="C6"/>
          <w:rtl w:val="0"/>
        </w:rPr>
        <w:t>0,77</w:t>
      </w:r>
    </w:p>
    <w:p>
      <w:pPr>
        <w:pStyle w:val="P3"/>
        <w:framePr w:w="1384" w:h="331" w:hRule="exact" w:wrap="none" w:vAnchor="page" w:hAnchor="margin" w:x="7948" w:y="13629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65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65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165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97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97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97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100 bis 2000 MHz (nom.): 85 - 20log(f/100)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  <w:r>
        <w:rPr>
          <w:rStyle w:val="C6"/>
          <w:rtl w:val="0"/>
        </w:rPr>
        <w:t>40</w:t>
      </w: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ekuMaxx2000, Cat.8.2, S-FTP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4x2xAWG22/1, violett, 1000m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IEC61156-9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Cca,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k64621341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