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3DA388D" Type="http://schemas.openxmlformats.org/officeDocument/2006/relationships/officeDocument" Target="/word/document.xml" /><Relationship Id="coreR23DA388D" Type="http://schemas.openxmlformats.org/package/2006/relationships/metadata/core-properties" Target="/docProps/core.xml" /><Relationship Id="customR23DA388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A+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50288-9-1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50288-9-1, IEC 61156-5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>Mantel: halogenfreies, flammwidriges Material, Aderisolation: Polyethylen geschäumt, beschichtet (Foam/Skin PE)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7,7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23,1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133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358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Cca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  <w:r>
        <w:rPr>
          <w:rStyle w:val="C4"/>
          <w:rtl w:val="0"/>
        </w:rPr>
        <w:t>1,34MJ/0,372kWh</w:t>
      </w: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42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0,76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1200 MHz (nom.): 90 - 20log(f/100)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ekuMaxx1500, Cat.7A+,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2x(4x2xAWG22/1), violett, 500m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Cca,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k64922341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