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1FECFA8" Type="http://schemas.openxmlformats.org/officeDocument/2006/relationships/officeDocument" Target="/word/document.xml" /><Relationship Id="coreR61FECFA8" Type="http://schemas.openxmlformats.org/package/2006/relationships/metadata/core-properties" Target="/docProps/core.xml" /><Relationship Id="customR61FECFA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A+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50288-9-1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nach EN 50288-9-1, IEC 61156-5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>Mantel: halogenfreies, flammwidriges Material, Aderisolation: Polyethylen geschäumt, beschichtet (Foam/Skin PE)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7,7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23,1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66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179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Cca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  <w:r>
        <w:rPr>
          <w:rStyle w:val="C4"/>
          <w:rtl w:val="0"/>
        </w:rPr>
        <w:t>0,67MJ/0,186kWh</w:t>
      </w: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42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0,76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1200 MHz (nom.): 90 - 20log(f/100)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65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ekuMaxx1500, Cat.7A+, S-FTP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4x2xAWG22/1, violett, 1000m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Cca,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k64921341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