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5165E36" Type="http://schemas.openxmlformats.org/officeDocument/2006/relationships/officeDocument" Target="/word/document.xml" /><Relationship Id="coreR25165E36" Type="http://schemas.openxmlformats.org/package/2006/relationships/metadata/core-properties" Target="/docProps/core.xml" /><Relationship Id="customR25165E3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A+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AWG22/1, LSOH-3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1500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IEC 61156-5 / EN 50288-9-1 und IEC 61156-7.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1200 MHz. 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Norm nach EN 50288-9-1, IEC 61156-5 und IEC 61156-7.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Flammenausbreitung nach IEC/DIN EN 60332-3-24, VDE 0472-332-3-24 (Prüfart C).</w:t>
      </w:r>
    </w:p>
    <w:p>
      <w:pPr>
        <w:keepNext w:val="0"/>
        <w:keepLines w:val="0"/>
        <w:framePr w:w="9360" w:h="3816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870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870"/>
        <w:rPr>
          <w:rStyle w:val="C4"/>
          <w:rtl w:val="0"/>
        </w:rPr>
      </w:pPr>
      <w:r>
        <w:rPr>
          <w:rStyle w:val="C4"/>
          <w:rtl w:val="0"/>
        </w:rPr>
        <w:t>AWG 22</w:t>
      </w:r>
    </w:p>
    <w:p>
      <w:pPr>
        <w:pStyle w:val="P2"/>
        <w:framePr w:w="1384" w:h="331" w:hRule="exact" w:wrap="none" w:vAnchor="page" w:hAnchor="margin" w:x="7948" w:y="587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01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6201"/>
        <w:rPr>
          <w:rStyle w:val="C4"/>
          <w:rtl w:val="0"/>
        </w:rPr>
      </w:pPr>
      <w:r>
        <w:rPr>
          <w:rStyle w:val="C4"/>
          <w:rtl w:val="0"/>
        </w:rPr>
        <w:t>8</w:t>
      </w:r>
    </w:p>
    <w:p>
      <w:pPr>
        <w:pStyle w:val="P2"/>
        <w:framePr w:w="1384" w:h="331" w:hRule="exact" w:wrap="none" w:vAnchor="page" w:hAnchor="margin" w:x="7948" w:y="620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532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532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53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863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042" w:hRule="exact" w:wrap="none" w:vAnchor="page" w:hAnchor="margin" w:x="4363" w:y="6863"/>
        <w:rPr>
          <w:rStyle w:val="C4"/>
          <w:rtl w:val="0"/>
        </w:rPr>
      </w:pPr>
      <w:r>
        <w:rPr>
          <w:rStyle w:val="C4"/>
          <w:rtl w:val="0"/>
        </w:rPr>
        <w:t>Mantel: halogenfreies, flammwidriges Material, Aderisolation: Polyethylen geschäumt, beschichtet (Foam/Skin PE)</w:t>
      </w:r>
    </w:p>
    <w:p>
      <w:pPr>
        <w:pStyle w:val="P2"/>
        <w:framePr w:w="1354" w:h="331" w:hRule="exact" w:wrap="none" w:vAnchor="page" w:hAnchor="margin" w:x="7948" w:y="686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905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905"/>
        <w:rPr>
          <w:rStyle w:val="C4"/>
          <w:rtl w:val="0"/>
        </w:rPr>
      </w:pPr>
      <w:r>
        <w:rPr>
          <w:rStyle w:val="C4"/>
          <w:rtl w:val="0"/>
        </w:rPr>
        <w:t>7,7</w:t>
      </w:r>
    </w:p>
    <w:p>
      <w:pPr>
        <w:pStyle w:val="P2"/>
        <w:framePr w:w="1384" w:h="331" w:hRule="exact" w:wrap="none" w:vAnchor="page" w:hAnchor="margin" w:x="7948" w:y="790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237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8237"/>
        <w:rPr>
          <w:rStyle w:val="C4"/>
          <w:rtl w:val="0"/>
        </w:rPr>
      </w:pPr>
      <w:r>
        <w:rPr>
          <w:rStyle w:val="C4"/>
          <w:rtl w:val="0"/>
        </w:rPr>
        <w:t>lila</w:t>
      </w:r>
    </w:p>
    <w:p>
      <w:pPr>
        <w:pStyle w:val="P2"/>
        <w:framePr w:w="1384" w:h="331" w:hRule="exact" w:wrap="none" w:vAnchor="page" w:hAnchor="margin" w:x="7948" w:y="82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568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568"/>
        <w:rPr>
          <w:rStyle w:val="C4"/>
          <w:rtl w:val="0"/>
        </w:rPr>
      </w:pPr>
      <w:r>
        <w:rPr>
          <w:rStyle w:val="C4"/>
          <w:rtl w:val="0"/>
        </w:rPr>
        <w:t>23,1</w:t>
      </w:r>
    </w:p>
    <w:p>
      <w:pPr>
        <w:pStyle w:val="P2"/>
        <w:framePr w:w="1354" w:h="331" w:hRule="exact" w:wrap="none" w:vAnchor="page" w:hAnchor="margin" w:x="7948" w:y="8568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899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899"/>
        <w:rPr>
          <w:rStyle w:val="C4"/>
          <w:rtl w:val="0"/>
        </w:rPr>
      </w:pPr>
      <w:r>
        <w:rPr>
          <w:rStyle w:val="C4"/>
          <w:rtl w:val="0"/>
        </w:rPr>
        <w:t>66</w:t>
      </w:r>
    </w:p>
    <w:p>
      <w:pPr>
        <w:pStyle w:val="P2"/>
        <w:framePr w:w="1384" w:h="331" w:hRule="exact" w:wrap="none" w:vAnchor="page" w:hAnchor="margin" w:x="7948" w:y="8899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9230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9230"/>
        <w:rPr>
          <w:rStyle w:val="C4"/>
          <w:rtl w:val="0"/>
        </w:rPr>
      </w:pPr>
      <w:r>
        <w:rPr>
          <w:rStyle w:val="C4"/>
          <w:rtl w:val="0"/>
        </w:rPr>
        <w:t>179</w:t>
      </w:r>
    </w:p>
    <w:p>
      <w:pPr>
        <w:pStyle w:val="P2"/>
        <w:framePr w:w="1384" w:h="331" w:hRule="exact" w:wrap="none" w:vAnchor="page" w:hAnchor="margin" w:x="7948" w:y="9230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561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561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956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893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893"/>
        <w:rPr>
          <w:rStyle w:val="C4"/>
          <w:rtl w:val="0"/>
        </w:rPr>
      </w:pPr>
      <w:r>
        <w:rPr>
          <w:rStyle w:val="C4"/>
          <w:rtl w:val="0"/>
        </w:rPr>
        <w:t>B2ca</w:t>
      </w:r>
    </w:p>
    <w:p>
      <w:pPr>
        <w:pStyle w:val="P2"/>
        <w:framePr w:w="1354" w:h="331" w:hRule="exact" w:wrap="none" w:vAnchor="page" w:hAnchor="margin" w:x="7948" w:y="989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224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0224"/>
        <w:rPr>
          <w:rStyle w:val="C4"/>
          <w:rtl w:val="0"/>
        </w:rPr>
      </w:pPr>
      <w:r>
        <w:rPr>
          <w:rStyle w:val="C4"/>
          <w:rtl w:val="0"/>
        </w:rPr>
        <w:t>s1a</w:t>
      </w:r>
    </w:p>
    <w:p>
      <w:pPr>
        <w:pStyle w:val="P2"/>
        <w:framePr w:w="1384" w:h="331" w:hRule="exact" w:wrap="none" w:vAnchor="page" w:hAnchor="margin" w:x="7948" w:y="10224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555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555"/>
        <w:rPr>
          <w:rStyle w:val="C4"/>
          <w:rtl w:val="0"/>
        </w:rPr>
      </w:pPr>
      <w:r>
        <w:rPr>
          <w:rStyle w:val="C4"/>
          <w:rtl w:val="0"/>
        </w:rPr>
        <w:t>d0</w:t>
      </w:r>
    </w:p>
    <w:p>
      <w:pPr>
        <w:pStyle w:val="P2"/>
        <w:framePr w:w="1384" w:h="331" w:hRule="exact" w:wrap="none" w:vAnchor="page" w:hAnchor="margin" w:x="7948" w:y="1055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86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886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88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217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1217"/>
        <w:rPr>
          <w:rStyle w:val="C4"/>
          <w:rtl w:val="0"/>
        </w:rPr>
      </w:pPr>
      <w:r>
        <w:rPr>
          <w:rStyle w:val="C4"/>
          <w:rtl w:val="0"/>
        </w:rPr>
        <w:t>0,67MJ/0,186kWh</w:t>
      </w:r>
    </w:p>
    <w:p>
      <w:pPr>
        <w:pStyle w:val="P2"/>
        <w:framePr w:w="1354" w:h="331" w:hRule="exact" w:wrap="none" w:vAnchor="page" w:hAnchor="margin" w:x="7948" w:y="11217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549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1549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1200 MHz Norm (entspricht IEC61156-7)</w:t>
      </w:r>
    </w:p>
    <w:p>
      <w:pPr>
        <w:pStyle w:val="P2"/>
        <w:framePr w:w="1384" w:h="331" w:hRule="exact" w:wrap="none" w:vAnchor="page" w:hAnchor="margin" w:x="7948" w:y="1154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337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2337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233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669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669"/>
        <w:rPr>
          <w:rStyle w:val="C4"/>
          <w:rtl w:val="0"/>
        </w:rPr>
      </w:pPr>
      <w:r>
        <w:rPr>
          <w:rStyle w:val="C4"/>
          <w:rtl w:val="0"/>
        </w:rPr>
        <w:t>42 pF/m</w:t>
      </w:r>
    </w:p>
    <w:p>
      <w:pPr>
        <w:pStyle w:val="P2"/>
        <w:framePr w:w="1384" w:h="331" w:hRule="exact" w:wrap="none" w:vAnchor="page" w:hAnchor="margin" w:x="7948" w:y="12669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3000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3000"/>
        <w:rPr>
          <w:rStyle w:val="C4"/>
          <w:rtl w:val="0"/>
        </w:rPr>
      </w:pPr>
      <w:r>
        <w:rPr>
          <w:rStyle w:val="C4"/>
          <w:rtl w:val="0"/>
        </w:rPr>
        <w:t>0,76</w:t>
      </w:r>
    </w:p>
    <w:p>
      <w:pPr>
        <w:pStyle w:val="P2"/>
        <w:framePr w:w="1384" w:h="331" w:hRule="exact" w:wrap="none" w:vAnchor="page" w:hAnchor="margin" w:x="7948" w:y="13000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536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536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3536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867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867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867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98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4198"/>
        <w:rPr>
          <w:rStyle w:val="C4"/>
          <w:rtl w:val="0"/>
        </w:rPr>
      </w:pPr>
      <w:r>
        <w:rPr>
          <w:rStyle w:val="C4"/>
          <w:rtl w:val="0"/>
        </w:rPr>
        <w:t>100 bis 1200 MHz (nom.): 90 - 20log(f/100) dB</w:t>
      </w:r>
    </w:p>
    <w:p>
      <w:pPr>
        <w:pStyle w:val="P2"/>
        <w:framePr w:w="1384" w:h="331" w:hRule="exact" w:wrap="none" w:vAnchor="page" w:hAnchor="margin" w:x="7948" w:y="14198"/>
        <w:rPr>
          <w:rStyle w:val="C4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65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simplex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102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102"/>
        <w:rPr>
          <w:rStyle w:val="C4"/>
          <w:rtl w:val="0"/>
        </w:rPr>
      </w:pPr>
      <w:r>
        <w:rPr>
          <w:rStyle w:val="C4"/>
          <w:rtl w:val="0"/>
        </w:rPr>
        <w:t>1000</w:t>
      </w:r>
    </w:p>
    <w:p>
      <w:pPr>
        <w:pStyle w:val="P2"/>
        <w:framePr w:w="1384" w:h="331" w:hRule="exact" w:wrap="none" w:vAnchor="page" w:hAnchor="margin" w:x="7948" w:y="2102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125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125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125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765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765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336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ekuMaxx1500, Cat.7A+, S-FTP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4x2xAWG22/1, violett, 1000m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EN50288-9-1, IEC61156-7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EN13501-6 B2ca, EN60332-3-24</w:t>
      </w:r>
    </w:p>
    <w:p>
      <w:pPr>
        <w:pStyle w:val="P2"/>
        <w:framePr w:w="3529" w:h="331" w:hRule="exact" w:wrap="none" w:vAnchor="page" w:hAnchor="margin" w:x="4363" w:y="5661"/>
        <w:rPr>
          <w:rStyle w:val="C4"/>
          <w:rtl w:val="0"/>
        </w:rPr>
      </w:pPr>
    </w:p>
    <w:p>
      <w:pPr>
        <w:pStyle w:val="P2"/>
        <w:framePr w:w="7864" w:h="316" w:hRule="exact" w:wrap="none" w:vAnchor="page" w:hAnchor="margin" w:x="28" w:y="6258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