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9AC7A6" Type="http://schemas.openxmlformats.org/officeDocument/2006/relationships/officeDocument" Target="/word/document.xml" /><Relationship Id="coreR39AC7A6" Type="http://schemas.openxmlformats.org/package/2006/relationships/metadata/core-properties" Target="/docProps/core.xml" /><Relationship Id="customR39AC7A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177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Cca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0,58/0,161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4x2xAWG22/1 vi. 1000m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Cca,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  <w:r>
        <w:rPr>
          <w:rStyle w:val="C4"/>
          <w:rtl w:val="0"/>
        </w:rPr>
        <w:t>k65731041</w:t>
      </w: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