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F126A01" Type="http://schemas.openxmlformats.org/officeDocument/2006/relationships/officeDocument" Target="/word/document.xml" /><Relationship Id="coreR2F126A01" Type="http://schemas.openxmlformats.org/package/2006/relationships/metadata/core-properties" Target="/docProps/core.xml" /><Relationship Id="customR2F126A0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1200 MHz. </w:t>
        <w:br w:type="textWrapping"/>
        <w:t>Übertrifft mit den elektrischen Übertragungseigenschaften die Anforderungen der Kategorie 7 nach IEC 61156-5.</w:t>
        <w:br w:type="textWrapping"/>
        <w:t>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 nach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Mantel: Copolymer, thermoplastisch </w:t>
        <w:br w:type="textWrapping"/>
        <w:t>Ader: Polyethylen geschäumt, beschichtet (Foam/Skin PE)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  <w:r>
        <w:rPr>
          <w:rStyle w:val="C6"/>
          <w:rtl w:val="0"/>
        </w:rPr>
        <w:t>7,3</w:t>
      </w: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29,2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s1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d2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(IEC 61156-5)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125 Ω ± 20%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40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 xml:space="preserve">nach IEC 62153-4-9   30 bis 100 MHz: 80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ekuLanHighSpeed1200, Cat.7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S-FTP, 2x(4x2xAWG23/1),or,500m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Cat.7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 EN60332-3-24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k64512041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