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D6913B2" Type="http://schemas.openxmlformats.org/officeDocument/2006/relationships/officeDocument" Target="/word/document.xml" /><Relationship Id="coreR2D6913B2" Type="http://schemas.openxmlformats.org/package/2006/relationships/metadata/core-properties" Target="/docProps/core.xml" /><Relationship Id="customR2D6913B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ODF System PhöniX 45HEx900Bx450T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Zentraler LWL-Hauptverteiler für FTTx-Netzwerke mit hoher Faserkapazität und einem Patchkabel-Management- System.</w:t>
        <w:br w:type="textWrapping"/>
        <w:t>Verteilergestell mit einer Aufnahmekapazität von bis zu 3240 Fasern.</w:t>
        <w:br w:type="textWrapping"/>
        <w:t>Geeignet für alle Standardkabel-, Mikrokabel- und Blown-Fiber-Systeme.</w:t>
        <w:br w:type="textWrapping"/>
        <w:t>Patchkabel-Management-System erfordert eine einheitliche Standardkabellänge.</w:t>
        <w:br w:type="textWrapping"/>
        <w:t>3 HE Kabelabfangplatte zur Abfangung von ankommenden Kabel, die von unten oder auch von oben eingeführt worden sind, Faserbündel werden von dort aus in Wellrohr zu den Spleiß-/Patchmodulen geführt.</w:t>
        <w:br w:type="textWrapping"/>
        <w:t>Weitere Racks seitlich anreihbar.</w:t>
        <w:br w:type="textWrapping"/>
        <w:t>Faserkapazität ohne Kabelabfangplatte 45HE x 72 Fasern = 3240 Ports.</w:t>
        <w:br w:type="textWrapping"/>
        <w:t>Faserkapazität mit Kabelabfangplatte 42HE x 72 Fasern = 3024 Ports.</w:t>
        <w:br w:type="textWrapping"/>
        <w:t>Rack inkl. Patchkabelmanagement und Kabelabfangplatte mit Rohrkamm unten</w:t>
        <w:br w:type="textWrapping"/>
        <w:t>Offene Ausführung, ohne Türen und Seitenwände, oben und unten offen für freie Kabel Zu- und Abgang Material.</w:t>
        <w:br w:type="textWrapping"/>
        <w:t>Einbauoption von anderen 19“ backmount Baugruppen mit einer max. Tiefe von 280 mm.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536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45 HE Basisgestell, 2200x900x450, Tonnen rechts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5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6759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75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91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7091"/>
        <w:rPr>
          <w:rStyle w:val="C6"/>
          <w:rtl w:val="0"/>
        </w:rPr>
      </w:pPr>
      <w:r>
        <w:rPr>
          <w:rStyle w:val="C6"/>
          <w:rtl w:val="0"/>
        </w:rPr>
        <w:t>Stahlblech, pulverbeschichtet</w:t>
      </w:r>
    </w:p>
    <w:p>
      <w:pPr>
        <w:pStyle w:val="P3"/>
        <w:framePr w:w="1354" w:h="331" w:hRule="exact" w:wrap="none" w:vAnchor="page" w:hAnchor="margin" w:x="7948" w:y="70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22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7422"/>
        <w:rPr>
          <w:rStyle w:val="C6"/>
          <w:rtl w:val="0"/>
        </w:rPr>
      </w:pPr>
      <w:r>
        <w:rPr>
          <w:rStyle w:val="C6"/>
          <w:rtl w:val="0"/>
        </w:rPr>
        <w:t>900</w:t>
      </w:r>
    </w:p>
    <w:p>
      <w:pPr>
        <w:pStyle w:val="P3"/>
        <w:framePr w:w="1354" w:h="331" w:hRule="exact" w:wrap="none" w:vAnchor="page" w:hAnchor="margin" w:x="7948" w:y="742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5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7753"/>
        <w:rPr>
          <w:rStyle w:val="C6"/>
          <w:rtl w:val="0"/>
        </w:rPr>
      </w:pPr>
      <w:r>
        <w:rPr>
          <w:rStyle w:val="C6"/>
          <w:rtl w:val="0"/>
        </w:rPr>
        <w:t>450</w:t>
      </w:r>
    </w:p>
    <w:p>
      <w:pPr>
        <w:pStyle w:val="P3"/>
        <w:framePr w:w="1384" w:h="331" w:hRule="exact" w:wrap="none" w:vAnchor="page" w:hAnchor="margin" w:x="7948" w:y="775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08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8084"/>
        <w:rPr>
          <w:rStyle w:val="C6"/>
          <w:rtl w:val="0"/>
        </w:rPr>
      </w:pPr>
      <w:r>
        <w:rPr>
          <w:rStyle w:val="C6"/>
          <w:rtl w:val="0"/>
        </w:rPr>
        <w:t>2200</w:t>
      </w:r>
    </w:p>
    <w:p>
      <w:pPr>
        <w:pStyle w:val="P3"/>
        <w:framePr w:w="1384" w:h="331" w:hRule="exact" w:wrap="none" w:vAnchor="page" w:hAnchor="margin" w:x="7948" w:y="808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41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41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41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09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09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69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697"/>
        <w:rPr>
          <w:rStyle w:val="C6"/>
          <w:rtl w:val="0"/>
        </w:rPr>
      </w:pPr>
      <w:r>
        <w:rPr>
          <w:rStyle w:val="C6"/>
          <w:rtl w:val="0"/>
        </w:rPr>
        <w:t>eku 19"ODF System PhöniX</w:t>
      </w:r>
    </w:p>
    <w:p>
      <w:pPr>
        <w:pStyle w:val="P3"/>
        <w:framePr w:w="3529" w:h="331" w:hRule="exact" w:wrap="none" w:vAnchor="page" w:hAnchor="margin" w:x="4363" w:y="11028"/>
        <w:rPr>
          <w:rStyle w:val="C6"/>
          <w:rtl w:val="0"/>
        </w:rPr>
      </w:pPr>
      <w:r>
        <w:rPr>
          <w:rStyle w:val="C6"/>
          <w:rtl w:val="0"/>
        </w:rPr>
        <w:t>2200x900x450mm, 45HE</w:t>
      </w:r>
    </w:p>
    <w:p>
      <w:pPr>
        <w:pStyle w:val="P3"/>
        <w:framePr w:w="3529" w:h="331" w:hRule="exact" w:wrap="none" w:vAnchor="page" w:hAnchor="margin" w:x="4363" w:y="11359"/>
        <w:rPr>
          <w:rStyle w:val="C6"/>
          <w:rtl w:val="0"/>
        </w:rPr>
      </w:pPr>
      <w:r>
        <w:rPr>
          <w:rStyle w:val="C6"/>
          <w:rtl w:val="0"/>
        </w:rPr>
        <w:t>RAL7035, inkl. Patchkabel-</w:t>
      </w:r>
    </w:p>
    <w:p>
      <w:pPr>
        <w:pStyle w:val="P3"/>
        <w:framePr w:w="3529" w:h="331" w:hRule="exact" w:wrap="none" w:vAnchor="page" w:hAnchor="margin" w:x="4363" w:y="11690"/>
        <w:rPr>
          <w:rStyle w:val="C6"/>
          <w:rtl w:val="0"/>
        </w:rPr>
      </w:pPr>
      <w:r>
        <w:rPr>
          <w:rStyle w:val="C6"/>
          <w:rtl w:val="0"/>
        </w:rPr>
        <w:t>magement, Tonnen rechts</w:t>
      </w:r>
    </w:p>
    <w:p>
      <w:pPr>
        <w:pStyle w:val="P3"/>
        <w:framePr w:w="3529" w:h="331" w:hRule="exact" w:wrap="none" w:vAnchor="page" w:hAnchor="margin" w:x="4363" w:y="12021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61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