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5046" w14:textId="77777777" w:rsidR="006700C1" w:rsidRDefault="006700C1" w:rsidP="006700C1">
      <w:pPr>
        <w:spacing w:after="13" w:line="259" w:lineRule="auto"/>
        <w:ind w:left="0" w:firstLine="0"/>
      </w:pPr>
      <w:r>
        <w:rPr>
          <w:b/>
        </w:rPr>
        <w:t xml:space="preserve">LWL Kabelverzweiger </w:t>
      </w:r>
      <w:proofErr w:type="spellStart"/>
      <w:r>
        <w:rPr>
          <w:b/>
        </w:rPr>
        <w:t>NVt</w:t>
      </w:r>
      <w:proofErr w:type="spellEnd"/>
      <w:r>
        <w:rPr>
          <w:b/>
        </w:rPr>
        <w:t xml:space="preserve"> 324 Serie 3.0</w:t>
      </w:r>
    </w:p>
    <w:p w14:paraId="0E8A7B34" w14:textId="77777777" w:rsidR="006700C1" w:rsidRDefault="006700C1" w:rsidP="006700C1">
      <w:pPr>
        <w:ind w:left="-5"/>
      </w:pPr>
      <w:r>
        <w:t>Zum Einsatz als Verbindungs- und Verteilpunkt.</w:t>
      </w:r>
    </w:p>
    <w:p w14:paraId="71A53156" w14:textId="77777777" w:rsidR="006700C1" w:rsidRDefault="006700C1" w:rsidP="006700C1">
      <w:pPr>
        <w:ind w:left="-5"/>
      </w:pPr>
      <w:r>
        <w:t>Das Kassettensystem erlaubt das Spleißen unter Betrieb ohne Beeinflussung von bestehenden Verbindungen.</w:t>
      </w:r>
    </w:p>
    <w:p w14:paraId="5DD60D6F" w14:textId="77777777" w:rsidR="006700C1" w:rsidRDefault="006700C1" w:rsidP="006700C1">
      <w:pPr>
        <w:ind w:left="-5"/>
      </w:pPr>
      <w:r>
        <w:t>In das System können optische Koppler integriert werden.</w:t>
      </w:r>
      <w:r>
        <w:t xml:space="preserve"> </w:t>
      </w:r>
      <w:r>
        <w:t xml:space="preserve">Innenraum ist geteilt: </w:t>
      </w:r>
      <w:proofErr w:type="gramStart"/>
      <w:r>
        <w:t>Rechts  Hauszugangsröhrchen</w:t>
      </w:r>
      <w:proofErr w:type="gramEnd"/>
      <w:r>
        <w:t xml:space="preserve">, mittig entnehmbarer </w:t>
      </w:r>
      <w:proofErr w:type="spellStart"/>
      <w:r>
        <w:t>Spleißbereich</w:t>
      </w:r>
      <w:proofErr w:type="spellEnd"/>
      <w:r>
        <w:t>, links Montageplatte mit Kabelabfangung für Stammkabel / Röhrchen.</w:t>
      </w:r>
    </w:p>
    <w:p w14:paraId="77CE4771" w14:textId="77777777" w:rsidR="006700C1" w:rsidRDefault="006700C1" w:rsidP="006700C1">
      <w:pPr>
        <w:ind w:left="-5"/>
      </w:pPr>
      <w:r>
        <w:t>Grundgehäuse aus glasfaserverstärktem, im Strukturschaumverfahren gespritztem Polycarbonat.</w:t>
      </w:r>
    </w:p>
    <w:p w14:paraId="3F97BE60" w14:textId="77777777" w:rsidR="006700C1" w:rsidRDefault="006700C1" w:rsidP="006700C1">
      <w:pPr>
        <w:ind w:left="-5"/>
      </w:pPr>
      <w:r>
        <w:t>Mit Oberflächenprofilierung gegen Plakatierung, mit Einstecktür (inkl. Schaltzettelklemme), mit</w:t>
      </w:r>
    </w:p>
    <w:p w14:paraId="696299F7" w14:textId="3B6F3A53" w:rsidR="006700C1" w:rsidRDefault="006700C1" w:rsidP="006700C1">
      <w:pPr>
        <w:ind w:left="-5"/>
      </w:pPr>
      <w:r>
        <w:t xml:space="preserve">Schwenkhebel, Doppelschließanlage (ohne Schloss und Schlüssel) inkl. 1xBlindzylinder, mit </w:t>
      </w:r>
      <w:proofErr w:type="spellStart"/>
      <w:r>
        <w:t>CSchiene</w:t>
      </w:r>
      <w:proofErr w:type="spellEnd"/>
      <w:r>
        <w:t xml:space="preserve"> zur Zugentlastung im Sockel, herausnehmbare Montageplatte, mit Bündeladerablage, mit Kabelabfangplatte links im Gehäuse montiert, zur Abfangung von ankommenden Backbone Kabeln, inkl. Clipschienensystem mit Mikrorohrabfangung, mit vorbestücktem </w:t>
      </w:r>
      <w:proofErr w:type="spellStart"/>
      <w:r>
        <w:t>Spleißkassettensystem</w:t>
      </w:r>
      <w:proofErr w:type="spellEnd"/>
      <w:r>
        <w:t>.</w:t>
      </w:r>
    </w:p>
    <w:p w14:paraId="07FDF25D" w14:textId="77777777" w:rsidR="00F54B76" w:rsidRDefault="00F54B76"/>
    <w:tbl>
      <w:tblPr>
        <w:tblStyle w:val="TableGrid"/>
        <w:tblpPr w:vertAnchor="page" w:horzAnchor="margin" w:tblpY="6451"/>
        <w:tblOverlap w:val="never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6700C1" w14:paraId="215077D7" w14:textId="77777777" w:rsidTr="006700C1">
        <w:trPr>
          <w:trHeight w:val="287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33AC105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00BAAF8" w14:textId="77777777" w:rsidR="006700C1" w:rsidRDefault="006700C1" w:rsidP="006700C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glasfaserverstärktes Polycarbonat (PC)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AAAB0E1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360346B5" w14:textId="77777777" w:rsidTr="006700C1">
        <w:trPr>
          <w:trHeight w:val="331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27122D40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F5EC84A" w14:textId="77777777" w:rsidR="006700C1" w:rsidRDefault="006700C1" w:rsidP="006700C1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achatgrau (ähnlich RAL 7038)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236A921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78D66FCC" w14:textId="77777777" w:rsidTr="006700C1">
        <w:trPr>
          <w:trHeight w:val="331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36BC6100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3E20F45" w14:textId="77777777" w:rsidR="006700C1" w:rsidRDefault="006700C1" w:rsidP="006700C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425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270B4D7" w14:textId="77777777" w:rsidR="006700C1" w:rsidRDefault="006700C1" w:rsidP="006700C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6700C1" w14:paraId="5899FB29" w14:textId="77777777" w:rsidTr="006700C1">
        <w:trPr>
          <w:trHeight w:val="331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558BE131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24AE6D8" w14:textId="77777777" w:rsidR="006700C1" w:rsidRDefault="006700C1" w:rsidP="006700C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858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E86E8B3" w14:textId="77777777" w:rsidR="006700C1" w:rsidRDefault="006700C1" w:rsidP="006700C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6700C1" w14:paraId="6F1134EF" w14:textId="77777777" w:rsidTr="006700C1">
        <w:trPr>
          <w:trHeight w:val="331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26452F75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73A73FE" w14:textId="77777777" w:rsidR="006700C1" w:rsidRDefault="006700C1" w:rsidP="006700C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300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880C4F8" w14:textId="77777777" w:rsidR="006700C1" w:rsidRDefault="006700C1" w:rsidP="006700C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6700C1" w14:paraId="6BAF65EA" w14:textId="77777777" w:rsidTr="006700C1">
        <w:trPr>
          <w:trHeight w:val="331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0228A2AC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BF55F0C" w14:textId="77777777" w:rsidR="006700C1" w:rsidRDefault="006700C1" w:rsidP="006700C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F4C42E7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53504FC7" w14:textId="77777777" w:rsidTr="006700C1">
        <w:trPr>
          <w:trHeight w:val="317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2E5C595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 xml:space="preserve">Anzahl der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>-Reihen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3D9BD79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346845A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30792B87" w14:textId="77777777" w:rsidTr="006700C1">
        <w:trPr>
          <w:trHeight w:val="56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B117263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SC-Kassette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75E2BC9" w14:textId="77777777" w:rsidR="006700C1" w:rsidRDefault="006700C1" w:rsidP="006700C1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648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2C2A678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4D031173" w14:textId="77777777" w:rsidTr="006700C1">
        <w:trPr>
          <w:trHeight w:val="321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33879D1B" w14:textId="77777777" w:rsidR="006700C1" w:rsidRDefault="006700C1" w:rsidP="006700C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4A2DE16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54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72EE48F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7B982BB0" w14:textId="77777777" w:rsidTr="006700C1">
        <w:trPr>
          <w:trHeight w:val="317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09C137E8" w14:textId="77777777" w:rsidR="006700C1" w:rsidRDefault="006700C1" w:rsidP="006700C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48A6B90" w14:textId="77777777" w:rsidR="006700C1" w:rsidRDefault="006700C1" w:rsidP="006700C1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D4D5A90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6944DFC3" w14:textId="77777777" w:rsidTr="006700C1">
        <w:trPr>
          <w:trHeight w:val="1052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17D0F5ED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Art und Anzahl der Zu-/Abgänge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67749A8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24 x Röhrchen 7mm oder</w:t>
            </w:r>
          </w:p>
          <w:p w14:paraId="69519396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10mm;6xKombinierter Eingang für</w:t>
            </w:r>
          </w:p>
          <w:p w14:paraId="7997CE5C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Röhrchen / Standardkabel 12-</w:t>
            </w:r>
          </w:p>
          <w:p w14:paraId="4FD49CB4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20mm;1x12-16mm Loop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A8C73D8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172F9121" w14:textId="77777777" w:rsidTr="006700C1">
        <w:trPr>
          <w:trHeight w:val="1939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124921D2" w14:textId="77777777" w:rsidR="006700C1" w:rsidRDefault="006700C1" w:rsidP="006700C1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Lieferumfang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AA330EF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24 x SC-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für max. 12 x</w:t>
            </w:r>
          </w:p>
          <w:p w14:paraId="01990AC8" w14:textId="77777777" w:rsidR="006700C1" w:rsidRDefault="006700C1" w:rsidP="006700C1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Crimpspleißschutz</w:t>
            </w:r>
            <w:proofErr w:type="spellEnd"/>
          </w:p>
          <w:p w14:paraId="673F58D8" w14:textId="77777777" w:rsidR="006700C1" w:rsidRDefault="006700C1" w:rsidP="006700C1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Abschlußplatten</w:t>
            </w:r>
            <w:proofErr w:type="spellEnd"/>
            <w:r>
              <w:rPr>
                <w:sz w:val="22"/>
              </w:rPr>
              <w:t xml:space="preserve"> für Clipschienen,</w:t>
            </w:r>
          </w:p>
          <w:p w14:paraId="04404D89" w14:textId="77777777" w:rsidR="006700C1" w:rsidRDefault="006700C1" w:rsidP="006700C1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Gripper</w:t>
            </w:r>
            <w:proofErr w:type="spellEnd"/>
            <w:r>
              <w:rPr>
                <w:sz w:val="22"/>
              </w:rPr>
              <w:t xml:space="preserve"> für Ø 7 / 10 mm</w:t>
            </w:r>
          </w:p>
          <w:p w14:paraId="31EB3166" w14:textId="77777777" w:rsidR="006700C1" w:rsidRDefault="006700C1" w:rsidP="006700C1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Zugentlastungselemente</w:t>
            </w:r>
          </w:p>
          <w:p w14:paraId="26D2EB7A" w14:textId="77777777" w:rsidR="006700C1" w:rsidRDefault="006700C1" w:rsidP="006700C1">
            <w:pPr>
              <w:spacing w:after="0" w:line="259" w:lineRule="auto"/>
              <w:ind w:left="90" w:right="23" w:firstLine="0"/>
            </w:pPr>
            <w:r>
              <w:rPr>
                <w:sz w:val="22"/>
              </w:rPr>
              <w:t>(Clip/Snapper) für DN 12, 14, 16 und 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4A05D7F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  <w:tr w:rsidR="006700C1" w14:paraId="19873C80" w14:textId="77777777" w:rsidTr="006700C1">
        <w:trPr>
          <w:trHeight w:val="569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571D" w14:textId="70D50B65" w:rsidR="006700C1" w:rsidRDefault="006700C1" w:rsidP="006700C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DA8E3" w14:textId="7542DF0A" w:rsidR="006700C1" w:rsidRPr="006700C1" w:rsidRDefault="006700C1" w:rsidP="006700C1">
            <w:pPr>
              <w:spacing w:after="0" w:line="259" w:lineRule="auto"/>
              <w:ind w:left="6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9E4CC87" w14:textId="77777777" w:rsidR="006700C1" w:rsidRDefault="006700C1" w:rsidP="006700C1">
            <w:pPr>
              <w:spacing w:after="160" w:line="259" w:lineRule="auto"/>
              <w:ind w:left="0" w:firstLine="0"/>
            </w:pPr>
          </w:p>
        </w:tc>
      </w:tr>
    </w:tbl>
    <w:p w14:paraId="536B0A72" w14:textId="77777777" w:rsidR="006700C1" w:rsidRDefault="006700C1"/>
    <w:p w14:paraId="64304183" w14:textId="77777777" w:rsidR="006700C1" w:rsidRDefault="006700C1"/>
    <w:p w14:paraId="58CD04A9" w14:textId="77777777" w:rsidR="006700C1" w:rsidRDefault="006700C1"/>
    <w:p w14:paraId="329157DA" w14:textId="77777777" w:rsidR="006700C1" w:rsidRDefault="006700C1"/>
    <w:p w14:paraId="2377AFEE" w14:textId="77777777" w:rsidR="006700C1" w:rsidRDefault="006700C1"/>
    <w:p w14:paraId="3CF7341C" w14:textId="77777777" w:rsidR="006700C1" w:rsidRDefault="006700C1"/>
    <w:p w14:paraId="22E45BE0" w14:textId="77777777" w:rsidR="006700C1" w:rsidRDefault="006700C1"/>
    <w:p w14:paraId="3FB8E861" w14:textId="77777777" w:rsidR="006700C1" w:rsidRDefault="006700C1"/>
    <w:p w14:paraId="25B84C22" w14:textId="77777777" w:rsidR="006700C1" w:rsidRDefault="006700C1"/>
    <w:p w14:paraId="78EAE6C9" w14:textId="77777777" w:rsidR="006700C1" w:rsidRDefault="006700C1"/>
    <w:p w14:paraId="548B0CFD" w14:textId="77777777" w:rsidR="006700C1" w:rsidRDefault="006700C1"/>
    <w:p w14:paraId="06B98AB4" w14:textId="77777777" w:rsidR="006700C1" w:rsidRDefault="006700C1"/>
    <w:p w14:paraId="16B4550B" w14:textId="77777777" w:rsidR="006700C1" w:rsidRDefault="006700C1"/>
    <w:p w14:paraId="75A31A6E" w14:textId="77777777" w:rsidR="006700C1" w:rsidRDefault="006700C1"/>
    <w:p w14:paraId="03138BC4" w14:textId="77777777" w:rsidR="006700C1" w:rsidRDefault="006700C1"/>
    <w:p w14:paraId="45F5A7AB" w14:textId="77777777" w:rsidR="006700C1" w:rsidRDefault="006700C1"/>
    <w:p w14:paraId="11E23C51" w14:textId="77777777" w:rsidR="006700C1" w:rsidRDefault="006700C1"/>
    <w:p w14:paraId="7A3C2EB0" w14:textId="77777777" w:rsidR="006700C1" w:rsidRDefault="006700C1"/>
    <w:p w14:paraId="07CB0C5E" w14:textId="77777777" w:rsidR="006700C1" w:rsidRDefault="006700C1"/>
    <w:p w14:paraId="66660F29" w14:textId="77777777" w:rsidR="006700C1" w:rsidRDefault="006700C1"/>
    <w:p w14:paraId="345C7AEF" w14:textId="77777777" w:rsidR="006700C1" w:rsidRDefault="006700C1"/>
    <w:p w14:paraId="34571CB4" w14:textId="77777777" w:rsidR="006700C1" w:rsidRPr="006700C1" w:rsidRDefault="006700C1" w:rsidP="006700C1"/>
    <w:p w14:paraId="2D9CEFDB" w14:textId="77777777" w:rsidR="006700C1" w:rsidRPr="006700C1" w:rsidRDefault="006700C1" w:rsidP="006700C1"/>
    <w:p w14:paraId="405839DF" w14:textId="77777777" w:rsidR="006700C1" w:rsidRPr="006700C1" w:rsidRDefault="006700C1" w:rsidP="006700C1"/>
    <w:p w14:paraId="0922DE37" w14:textId="77777777" w:rsidR="006700C1" w:rsidRPr="006700C1" w:rsidRDefault="006700C1" w:rsidP="006700C1"/>
    <w:p w14:paraId="17D20BAE" w14:textId="77777777" w:rsidR="006700C1" w:rsidRPr="006700C1" w:rsidRDefault="006700C1" w:rsidP="006700C1"/>
    <w:p w14:paraId="3893159B" w14:textId="77777777" w:rsidR="006700C1" w:rsidRPr="006700C1" w:rsidRDefault="006700C1" w:rsidP="006700C1"/>
    <w:p w14:paraId="7CE35E57" w14:textId="77777777" w:rsidR="006700C1" w:rsidRDefault="006700C1" w:rsidP="006700C1"/>
    <w:p w14:paraId="5ADF8C9B" w14:textId="77777777" w:rsidR="006700C1" w:rsidRDefault="006700C1" w:rsidP="006700C1"/>
    <w:tbl>
      <w:tblPr>
        <w:tblStyle w:val="TableGrid"/>
        <w:tblpPr w:vertAnchor="page" w:horzAnchor="margin" w:tblpY="931"/>
        <w:tblOverlap w:val="never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3803"/>
      </w:tblGrid>
      <w:tr w:rsidR="006700C1" w14:paraId="68CB469F" w14:textId="77777777" w:rsidTr="006700C1">
        <w:trPr>
          <w:trHeight w:val="1405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14:paraId="5A258A4B" w14:textId="77777777" w:rsidR="006700C1" w:rsidRDefault="006700C1" w:rsidP="006700C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>Typ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4239" w14:textId="77777777" w:rsidR="006700C1" w:rsidRDefault="006700C1" w:rsidP="006700C1">
            <w:pPr>
              <w:spacing w:after="56" w:line="259" w:lineRule="auto"/>
              <w:ind w:left="0" w:firstLine="0"/>
            </w:pPr>
            <w:proofErr w:type="spellStart"/>
            <w:r>
              <w:rPr>
                <w:sz w:val="22"/>
              </w:rPr>
              <w:t>NVt</w:t>
            </w:r>
            <w:proofErr w:type="spellEnd"/>
            <w:r>
              <w:rPr>
                <w:sz w:val="22"/>
              </w:rPr>
              <w:t xml:space="preserve"> 324 7/10 Serie 3.0</w:t>
            </w:r>
          </w:p>
          <w:p w14:paraId="7BF482E2" w14:textId="77777777" w:rsidR="006700C1" w:rsidRDefault="006700C1" w:rsidP="006700C1">
            <w:pPr>
              <w:spacing w:after="56" w:line="259" w:lineRule="auto"/>
              <w:ind w:left="0" w:firstLine="0"/>
            </w:pPr>
            <w:r>
              <w:rPr>
                <w:sz w:val="22"/>
              </w:rPr>
              <w:t>425x1458x300mm (</w:t>
            </w:r>
            <w:proofErr w:type="spellStart"/>
            <w:r>
              <w:rPr>
                <w:sz w:val="22"/>
              </w:rPr>
              <w:t>BxHxT</w:t>
            </w:r>
            <w:proofErr w:type="spellEnd"/>
            <w:r>
              <w:rPr>
                <w:sz w:val="22"/>
              </w:rPr>
              <w:t>)</w:t>
            </w:r>
          </w:p>
          <w:p w14:paraId="6E4E13CE" w14:textId="77777777" w:rsidR="006700C1" w:rsidRDefault="006700C1" w:rsidP="006700C1">
            <w:pPr>
              <w:spacing w:after="56" w:line="259" w:lineRule="auto"/>
              <w:ind w:left="0" w:firstLine="0"/>
            </w:pPr>
            <w:r>
              <w:rPr>
                <w:sz w:val="22"/>
              </w:rPr>
              <w:t>inkl. Kassetten 24xSC &amp; Sockel</w:t>
            </w:r>
          </w:p>
          <w:p w14:paraId="445AC1D8" w14:textId="77777777" w:rsidR="006700C1" w:rsidRDefault="006700C1" w:rsidP="006700C1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Standard Version</w:t>
            </w:r>
            <w:proofErr w:type="gramEnd"/>
          </w:p>
        </w:tc>
      </w:tr>
    </w:tbl>
    <w:p w14:paraId="29CA5632" w14:textId="77777777" w:rsidR="006700C1" w:rsidRDefault="006700C1" w:rsidP="006700C1"/>
    <w:p w14:paraId="23EFDEFC" w14:textId="77777777" w:rsidR="006700C1" w:rsidRPr="006700C1" w:rsidRDefault="006700C1" w:rsidP="006700C1"/>
    <w:p w14:paraId="6F2208FB" w14:textId="77777777" w:rsidR="006700C1" w:rsidRPr="006700C1" w:rsidRDefault="006700C1" w:rsidP="006700C1"/>
    <w:p w14:paraId="5705D463" w14:textId="77777777" w:rsidR="006700C1" w:rsidRPr="006700C1" w:rsidRDefault="006700C1" w:rsidP="006700C1"/>
    <w:p w14:paraId="5E348D08" w14:textId="77777777" w:rsidR="006700C1" w:rsidRDefault="006700C1" w:rsidP="006700C1"/>
    <w:p w14:paraId="1F6420C5" w14:textId="77777777" w:rsidR="006700C1" w:rsidRDefault="006700C1" w:rsidP="006700C1">
      <w:pPr>
        <w:spacing w:after="0" w:line="259" w:lineRule="auto"/>
        <w:ind w:left="0" w:firstLine="0"/>
      </w:pPr>
      <w:r>
        <w:rPr>
          <w:sz w:val="22"/>
        </w:rPr>
        <w:t>Liefern, montieren</w:t>
      </w:r>
    </w:p>
    <w:p w14:paraId="7D0E0F0B" w14:textId="77777777" w:rsidR="006700C1" w:rsidRPr="006700C1" w:rsidRDefault="006700C1" w:rsidP="006700C1"/>
    <w:sectPr w:rsidR="006700C1" w:rsidRPr="006700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C1"/>
    <w:rsid w:val="001C07B2"/>
    <w:rsid w:val="00447440"/>
    <w:rsid w:val="006700C1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5184"/>
  <w15:chartTrackingRefBased/>
  <w15:docId w15:val="{D0DCE201-71B7-4205-96DD-09B142E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0C1"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0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0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0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0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0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0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0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0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0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0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0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00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00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00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0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00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00C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700C1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dc:description/>
  <cp:lastModifiedBy>Elias Fahrenholz</cp:lastModifiedBy>
  <cp:revision>1</cp:revision>
  <dcterms:created xsi:type="dcterms:W3CDTF">2025-02-05T13:24:00Z</dcterms:created>
  <dcterms:modified xsi:type="dcterms:W3CDTF">2025-02-05T13:28:00Z</dcterms:modified>
</cp:coreProperties>
</file>