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24 x 10,0 / 6,0 mm </w:t>
      </w:r>
      <w:r>
        <w:rPr>
          <w:spacing w:val="-2"/>
        </w:rPr>
        <w:t>Mikrorohrverbund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Mikrorohrverbund</w:t>
      </w:r>
      <w:r>
        <w:rPr>
          <w:spacing w:val="-5"/>
          <w:sz w:val="24"/>
        </w:rPr>
        <w:t> </w:t>
      </w:r>
      <w:r>
        <w:rPr>
          <w:sz w:val="24"/>
        </w:rPr>
        <w:t>zur</w:t>
      </w:r>
      <w:r>
        <w:rPr>
          <w:spacing w:val="-15"/>
          <w:sz w:val="24"/>
        </w:rPr>
        <w:t> </w:t>
      </w:r>
      <w:r>
        <w:rPr>
          <w:sz w:val="24"/>
        </w:rPr>
        <w:t>Aufnahme</w:t>
      </w:r>
      <w:r>
        <w:rPr>
          <w:spacing w:val="-4"/>
          <w:sz w:val="24"/>
        </w:rPr>
        <w:t> </w:t>
      </w:r>
      <w:r>
        <w:rPr>
          <w:sz w:val="24"/>
        </w:rPr>
        <w:t>und</w:t>
      </w:r>
      <w:r>
        <w:rPr>
          <w:spacing w:val="-4"/>
          <w:sz w:val="24"/>
        </w:rPr>
        <w:t> </w:t>
      </w:r>
      <w:r>
        <w:rPr>
          <w:sz w:val="24"/>
        </w:rPr>
        <w:t>zum</w:t>
      </w:r>
      <w:r>
        <w:rPr>
          <w:spacing w:val="-4"/>
          <w:sz w:val="24"/>
        </w:rPr>
        <w:t> </w:t>
      </w:r>
      <w:r>
        <w:rPr>
          <w:sz w:val="24"/>
        </w:rPr>
        <w:t>Schutz</w:t>
      </w:r>
      <w:r>
        <w:rPr>
          <w:spacing w:val="-4"/>
          <w:sz w:val="24"/>
        </w:rPr>
        <w:t> </w:t>
      </w:r>
      <w:r>
        <w:rPr>
          <w:sz w:val="24"/>
        </w:rPr>
        <w:t>von</w:t>
      </w:r>
      <w:r>
        <w:rPr>
          <w:spacing w:val="-4"/>
          <w:sz w:val="24"/>
        </w:rPr>
        <w:t> </w:t>
      </w:r>
      <w:r>
        <w:rPr>
          <w:sz w:val="24"/>
        </w:rPr>
        <w:t>Glasfaserkabeln</w:t>
      </w:r>
      <w:r>
        <w:rPr>
          <w:spacing w:val="-4"/>
          <w:sz w:val="24"/>
        </w:rPr>
        <w:t> </w:t>
      </w:r>
      <w:r>
        <w:rPr>
          <w:sz w:val="24"/>
        </w:rPr>
        <w:t>bei</w:t>
      </w:r>
      <w:r>
        <w:rPr>
          <w:spacing w:val="-4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Installation</w:t>
      </w:r>
      <w:r>
        <w:rPr>
          <w:spacing w:val="-4"/>
          <w:sz w:val="24"/>
        </w:rPr>
        <w:t> </w:t>
      </w:r>
      <w:r>
        <w:rPr>
          <w:sz w:val="24"/>
        </w:rPr>
        <w:t>von </w:t>
      </w:r>
      <w:r>
        <w:rPr>
          <w:spacing w:val="-2"/>
          <w:sz w:val="24"/>
        </w:rPr>
        <w:t>Breitbandnetzen.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Riefen</w:t>
      </w:r>
      <w:r>
        <w:rPr>
          <w:spacing w:val="-4"/>
          <w:sz w:val="24"/>
        </w:rPr>
        <w:t> </w:t>
      </w:r>
      <w:r>
        <w:rPr>
          <w:sz w:val="24"/>
        </w:rPr>
        <w:t>im</w:t>
      </w:r>
      <w:r>
        <w:rPr>
          <w:spacing w:val="-4"/>
          <w:sz w:val="24"/>
        </w:rPr>
        <w:t> </w:t>
      </w:r>
      <w:r>
        <w:rPr>
          <w:sz w:val="24"/>
        </w:rPr>
        <w:t>Inneren</w:t>
      </w:r>
      <w:r>
        <w:rPr>
          <w:spacing w:val="-4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Röhrchen</w:t>
      </w:r>
      <w:r>
        <w:rPr>
          <w:spacing w:val="-4"/>
          <w:sz w:val="24"/>
        </w:rPr>
        <w:t> </w:t>
      </w:r>
      <w:r>
        <w:rPr>
          <w:sz w:val="24"/>
        </w:rPr>
        <w:t>verringern</w:t>
      </w:r>
      <w:r>
        <w:rPr>
          <w:spacing w:val="-4"/>
          <w:sz w:val="24"/>
        </w:rPr>
        <w:t> </w:t>
      </w:r>
      <w:r>
        <w:rPr>
          <w:sz w:val="24"/>
        </w:rPr>
        <w:t>den</w:t>
      </w:r>
      <w:r>
        <w:rPr>
          <w:spacing w:val="-4"/>
          <w:sz w:val="24"/>
        </w:rPr>
        <w:t> </w:t>
      </w:r>
      <w:r>
        <w:rPr>
          <w:sz w:val="24"/>
        </w:rPr>
        <w:t>Reibungswiderstand</w:t>
      </w:r>
      <w:r>
        <w:rPr>
          <w:spacing w:val="-4"/>
          <w:sz w:val="24"/>
        </w:rPr>
        <w:t> </w:t>
      </w:r>
      <w:r>
        <w:rPr>
          <w:sz w:val="24"/>
        </w:rPr>
        <w:t>beim</w:t>
      </w:r>
      <w:r>
        <w:rPr>
          <w:spacing w:val="-4"/>
          <w:sz w:val="24"/>
        </w:rPr>
        <w:t> </w:t>
      </w:r>
      <w:r>
        <w:rPr>
          <w:sz w:val="24"/>
        </w:rPr>
        <w:t>Einblasen</w:t>
      </w:r>
      <w:r>
        <w:rPr>
          <w:spacing w:val="-4"/>
          <w:sz w:val="24"/>
        </w:rPr>
        <w:t> </w:t>
      </w:r>
      <w:r>
        <w:rPr>
          <w:sz w:val="24"/>
        </w:rPr>
        <w:t>der </w:t>
      </w:r>
      <w:r>
        <w:rPr>
          <w:spacing w:val="-2"/>
          <w:sz w:val="24"/>
        </w:rPr>
        <w:t>Glasfaserkabel.</w:t>
      </w:r>
    </w:p>
    <w:p>
      <w:pPr>
        <w:spacing w:before="0"/>
        <w:ind w:left="28" w:right="1189" w:firstLine="0"/>
        <w:jc w:val="left"/>
        <w:rPr>
          <w:sz w:val="24"/>
        </w:rPr>
      </w:pPr>
      <w:r>
        <w:rPr>
          <w:sz w:val="24"/>
        </w:rPr>
        <w:t>Material</w:t>
      </w:r>
      <w:r>
        <w:rPr>
          <w:spacing w:val="-4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Röhrchen</w:t>
      </w:r>
      <w:r>
        <w:rPr>
          <w:spacing w:val="-4"/>
          <w:sz w:val="24"/>
        </w:rPr>
        <w:t> </w:t>
      </w:r>
      <w:r>
        <w:rPr>
          <w:sz w:val="24"/>
        </w:rPr>
        <w:t>PE-HD,</w:t>
      </w:r>
      <w:r>
        <w:rPr>
          <w:spacing w:val="-4"/>
          <w:sz w:val="24"/>
        </w:rPr>
        <w:t> </w:t>
      </w:r>
      <w:r>
        <w:rPr>
          <w:sz w:val="24"/>
        </w:rPr>
        <w:t>transparent</w:t>
      </w:r>
      <w:r>
        <w:rPr>
          <w:spacing w:val="-4"/>
          <w:sz w:val="24"/>
        </w:rPr>
        <w:t> </w:t>
      </w:r>
      <w:r>
        <w:rPr>
          <w:sz w:val="24"/>
        </w:rPr>
        <w:t>mit</w:t>
      </w:r>
      <w:r>
        <w:rPr>
          <w:spacing w:val="-4"/>
          <w:sz w:val="24"/>
        </w:rPr>
        <w:t> </w:t>
      </w:r>
      <w:r>
        <w:rPr>
          <w:sz w:val="24"/>
        </w:rPr>
        <w:t>Streifen</w:t>
      </w:r>
      <w:r>
        <w:rPr>
          <w:spacing w:val="-4"/>
          <w:sz w:val="24"/>
        </w:rPr>
        <w:t> </w:t>
      </w:r>
      <w:r>
        <w:rPr>
          <w:sz w:val="24"/>
        </w:rPr>
        <w:t>gemäß</w:t>
      </w:r>
      <w:r>
        <w:rPr>
          <w:spacing w:val="-4"/>
          <w:sz w:val="24"/>
        </w:rPr>
        <w:t> </w:t>
      </w:r>
      <w:r>
        <w:rPr>
          <w:sz w:val="24"/>
        </w:rPr>
        <w:t>DIN</w:t>
      </w:r>
      <w:r>
        <w:rPr>
          <w:spacing w:val="-9"/>
          <w:sz w:val="24"/>
        </w:rPr>
        <w:t> </w:t>
      </w:r>
      <w:r>
        <w:rPr>
          <w:sz w:val="24"/>
        </w:rPr>
        <w:t>VDE</w:t>
      </w:r>
      <w:r>
        <w:rPr>
          <w:spacing w:val="-4"/>
          <w:sz w:val="24"/>
        </w:rPr>
        <w:t> </w:t>
      </w:r>
      <w:r>
        <w:rPr>
          <w:sz w:val="24"/>
        </w:rPr>
        <w:t>0888. Material des Verbund-Mantels HE-HD, orange.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</w:tabs>
      </w:pPr>
      <w:r>
        <w:rPr/>
        <w:t>Außendurchmesser </w:t>
      </w:r>
      <w:r>
        <w:rPr>
          <w:spacing w:val="-2"/>
        </w:rPr>
        <w:t>Monorohr</w:t>
      </w:r>
      <w:r>
        <w:rPr/>
        <w:tab/>
        <w:t>min.</w:t>
      </w:r>
      <w:r>
        <w:rPr>
          <w:spacing w:val="-2"/>
        </w:rPr>
        <w:t> </w:t>
      </w:r>
      <w:r>
        <w:rPr/>
        <w:t>10,0mm, max. </w:t>
      </w:r>
      <w:r>
        <w:rPr>
          <w:spacing w:val="-2"/>
        </w:rPr>
        <w:t>10,1mm</w:t>
      </w:r>
    </w:p>
    <w:p>
      <w:pPr>
        <w:pStyle w:val="BodyText"/>
        <w:tabs>
          <w:tab w:pos="4393" w:val="left" w:leader="none"/>
        </w:tabs>
        <w:spacing w:before="79"/>
        <w:ind w:left="43"/>
      </w:pPr>
      <w:r>
        <w:rPr/>
        <w:t>Dicke </w:t>
      </w:r>
      <w:r>
        <w:rPr>
          <w:spacing w:val="-2"/>
        </w:rPr>
        <w:t>Monorohr</w:t>
      </w:r>
      <w:r>
        <w:rPr/>
        <w:tab/>
        <w:t>2,0 mm + 0,1 mm </w:t>
      </w:r>
      <w:r>
        <w:rPr>
          <w:spacing w:val="-2"/>
        </w:rPr>
        <w:t>(nominell)</w:t>
      </w:r>
    </w:p>
    <w:p>
      <w:pPr>
        <w:pStyle w:val="BodyText"/>
        <w:tabs>
          <w:tab w:pos="4378" w:val="left" w:leader="none"/>
        </w:tabs>
        <w:spacing w:before="78"/>
      </w:pPr>
      <w:r>
        <w:rPr>
          <w:spacing w:val="-2"/>
        </w:rPr>
        <w:t>Mantelmaterial</w:t>
      </w:r>
      <w:r>
        <w:rPr/>
        <w:tab/>
        <w:t>PE-</w:t>
      </w:r>
      <w:r>
        <w:rPr>
          <w:spacing w:val="-5"/>
        </w:rPr>
        <w:t>HD</w:t>
      </w:r>
    </w:p>
    <w:p>
      <w:pPr>
        <w:pStyle w:val="BodyText"/>
        <w:tabs>
          <w:tab w:pos="4378" w:val="left" w:leader="none"/>
        </w:tabs>
        <w:spacing w:before="78"/>
      </w:pPr>
      <w:r>
        <w:rPr/>
        <w:t>Design </w:t>
      </w:r>
      <w:r>
        <w:rPr>
          <w:spacing w:val="-2"/>
        </w:rPr>
        <w:t>Monorohr</w:t>
      </w:r>
      <w:r>
        <w:rPr/>
        <w:tab/>
        <w:t>Glatte Außenseite, geriffelte </w:t>
      </w:r>
      <w:r>
        <w:rPr>
          <w:spacing w:val="-2"/>
        </w:rPr>
        <w:t>Innenseite</w:t>
      </w:r>
    </w:p>
    <w:p>
      <w:pPr>
        <w:pStyle w:val="BodyText"/>
        <w:tabs>
          <w:tab w:pos="4378" w:val="left" w:leader="none"/>
        </w:tabs>
        <w:spacing w:before="78"/>
      </w:pPr>
      <w:r>
        <w:rPr/>
        <w:t>Riefenanzahl </w:t>
      </w:r>
      <w:r>
        <w:rPr>
          <w:spacing w:val="-2"/>
        </w:rPr>
        <w:t>Monorohr</w:t>
      </w:r>
      <w:r>
        <w:rPr/>
        <w:tab/>
        <w:t>10/6 mm : </w:t>
      </w:r>
      <w:r>
        <w:rPr>
          <w:spacing w:val="-5"/>
        </w:rPr>
        <w:t>45</w:t>
      </w:r>
    </w:p>
    <w:p>
      <w:pPr>
        <w:pStyle w:val="BodyText"/>
        <w:tabs>
          <w:tab w:pos="4378" w:val="left" w:leader="none"/>
        </w:tabs>
        <w:spacing w:line="213" w:lineRule="auto" w:before="69"/>
        <w:ind w:left="4378" w:right="1749" w:hanging="4350"/>
      </w:pPr>
      <w:r>
        <w:rPr>
          <w:spacing w:val="-2"/>
          <w:position w:val="-2"/>
        </w:rPr>
        <w:t>Röhrchenfarbe</w:t>
      </w:r>
      <w:r>
        <w:rPr>
          <w:position w:val="-2"/>
        </w:rPr>
        <w:tab/>
      </w:r>
      <w:r>
        <w:rPr/>
        <w:t>Transparent</w:t>
      </w:r>
      <w:r>
        <w:rPr>
          <w:spacing w:val="-12"/>
        </w:rPr>
        <w:t> </w:t>
      </w:r>
      <w:r>
        <w:rPr/>
        <w:t>mit</w:t>
      </w:r>
      <w:r>
        <w:rPr>
          <w:spacing w:val="-12"/>
        </w:rPr>
        <w:t> </w:t>
      </w:r>
      <w:r>
        <w:rPr/>
        <w:t>Streifen</w:t>
      </w:r>
      <w:r>
        <w:rPr>
          <w:spacing w:val="-12"/>
        </w:rPr>
        <w:t> </w:t>
      </w:r>
      <w:r>
        <w:rPr/>
        <w:t>gemäß</w:t>
      </w:r>
      <w:r>
        <w:rPr>
          <w:spacing w:val="-12"/>
        </w:rPr>
        <w:t> </w:t>
      </w:r>
      <w:r>
        <w:rPr/>
        <w:t>DIN VDE 0888</w:t>
      </w:r>
    </w:p>
    <w:p>
      <w:pPr>
        <w:pStyle w:val="BodyText"/>
        <w:tabs>
          <w:tab w:pos="4378" w:val="left" w:leader="none"/>
        </w:tabs>
        <w:spacing w:line="268" w:lineRule="exact" w:before="36"/>
      </w:pPr>
      <w:r>
        <w:rPr>
          <w:position w:val="-2"/>
        </w:rPr>
        <w:t>Farbcodes </w:t>
      </w:r>
      <w:r>
        <w:rPr>
          <w:spacing w:val="-2"/>
          <w:position w:val="-2"/>
        </w:rPr>
        <w:t>Rohre</w:t>
      </w:r>
      <w:r>
        <w:rPr>
          <w:position w:val="-2"/>
        </w:rPr>
        <w:tab/>
      </w:r>
      <w:r>
        <w:rPr/>
        <w:t>1, 13 rot RAL3000;2, 14 </w:t>
      </w:r>
      <w:r>
        <w:rPr>
          <w:spacing w:val="-4"/>
        </w:rPr>
        <w:t>grün</w:t>
      </w:r>
    </w:p>
    <w:p>
      <w:pPr>
        <w:pStyle w:val="BodyText"/>
        <w:spacing w:line="238" w:lineRule="exact"/>
        <w:ind w:left="4378"/>
      </w:pPr>
      <w:r>
        <w:rPr/>
        <w:t>RAL6001;3, 15 blau RAL5010;4, </w:t>
      </w:r>
      <w:r>
        <w:rPr>
          <w:spacing w:val="-5"/>
        </w:rPr>
        <w:t>16</w:t>
      </w:r>
    </w:p>
    <w:p>
      <w:pPr>
        <w:pStyle w:val="BodyText"/>
        <w:ind w:left="4378"/>
      </w:pPr>
      <w:r>
        <w:rPr/>
        <w:t>gelb RAL1018;5, 17 weiß </w:t>
      </w:r>
      <w:r>
        <w:rPr>
          <w:spacing w:val="-2"/>
        </w:rPr>
        <w:t>RAL9010;6,</w:t>
      </w:r>
    </w:p>
    <w:p>
      <w:pPr>
        <w:pStyle w:val="BodyText"/>
        <w:ind w:left="4378"/>
      </w:pPr>
      <w:r>
        <w:rPr/>
        <w:t>18 grau RAL7001;7, 19</w:t>
      </w:r>
      <w:r>
        <w:rPr>
          <w:spacing w:val="55"/>
        </w:rPr>
        <w:t> </w:t>
      </w:r>
      <w:r>
        <w:rPr>
          <w:spacing w:val="-2"/>
        </w:rPr>
        <w:t>braun</w:t>
      </w:r>
    </w:p>
    <w:p>
      <w:pPr>
        <w:pStyle w:val="BodyText"/>
        <w:ind w:left="4378"/>
      </w:pPr>
      <w:r>
        <w:rPr/>
        <w:t>RAL8015;8, 20</w:t>
      </w:r>
      <w:r>
        <w:rPr>
          <w:spacing w:val="55"/>
        </w:rPr>
        <w:t> </w:t>
      </w:r>
      <w:r>
        <w:rPr/>
        <w:t>violett RAL4006;9, </w:t>
      </w:r>
      <w:r>
        <w:rPr>
          <w:spacing w:val="-5"/>
        </w:rPr>
        <w:t>21</w:t>
      </w:r>
    </w:p>
    <w:p>
      <w:pPr>
        <w:pStyle w:val="BodyText"/>
        <w:ind w:left="4378" w:right="1530"/>
      </w:pPr>
      <w:r>
        <w:rPr/>
        <w:t>türkis RAL6027;10, 22</w:t>
      </w:r>
      <w:r>
        <w:rPr>
          <w:spacing w:val="40"/>
        </w:rPr>
        <w:t> </w:t>
      </w:r>
      <w:r>
        <w:rPr/>
        <w:t>schwarz RAL9011;11,</w:t>
      </w:r>
      <w:r>
        <w:rPr>
          <w:spacing w:val="-14"/>
        </w:rPr>
        <w:t> </w:t>
      </w:r>
      <w:r>
        <w:rPr/>
        <w:t>23</w:t>
      </w:r>
      <w:r>
        <w:rPr>
          <w:spacing w:val="-14"/>
        </w:rPr>
        <w:t> </w:t>
      </w:r>
      <w:r>
        <w:rPr/>
        <w:t>orange</w:t>
      </w:r>
      <w:r>
        <w:rPr>
          <w:spacing w:val="-14"/>
        </w:rPr>
        <w:t> </w:t>
      </w:r>
      <w:r>
        <w:rPr/>
        <w:t>RAL2003;12, 24 pink RAL4003;Rohr 1-12: 2</w:t>
      </w:r>
    </w:p>
    <w:p>
      <w:pPr>
        <w:pStyle w:val="BodyText"/>
        <w:ind w:left="4378"/>
      </w:pPr>
      <w:r>
        <w:rPr/>
        <w:t>Streifen;Rohr 13-24: 4 </w:t>
      </w:r>
      <w:r>
        <w:rPr>
          <w:spacing w:val="-2"/>
        </w:rPr>
        <w:t>Streifen</w:t>
      </w:r>
    </w:p>
    <w:p>
      <w:pPr>
        <w:pStyle w:val="BodyText"/>
        <w:tabs>
          <w:tab w:pos="4348" w:val="left" w:leader="none"/>
        </w:tabs>
        <w:spacing w:line="232" w:lineRule="auto" w:before="36"/>
        <w:ind w:left="4348" w:right="1530" w:hanging="4320"/>
      </w:pPr>
      <w:r>
        <w:rPr>
          <w:spacing w:val="-2"/>
          <w:position w:val="-2"/>
        </w:rPr>
        <w:t>Bedruckung</w:t>
      </w:r>
      <w:r>
        <w:rPr>
          <w:position w:val="-2"/>
        </w:rPr>
        <w:tab/>
      </w:r>
      <w:r>
        <w:rPr/>
        <w:t>24x10/6 mm – Hersteller, Datum, Uhrzeit, Meter, Batch Liniennr., Achtung Glasfaser, Nummerierung der Mikrorohre</w:t>
      </w:r>
      <w:r>
        <w:rPr>
          <w:spacing w:val="-10"/>
        </w:rPr>
        <w:t> </w:t>
      </w:r>
      <w:r>
        <w:rPr/>
        <w:t>gemäß</w:t>
      </w:r>
      <w:r>
        <w:rPr>
          <w:spacing w:val="-10"/>
        </w:rPr>
        <w:t> </w:t>
      </w:r>
      <w:r>
        <w:rPr/>
        <w:t>Farbcode</w:t>
      </w:r>
      <w:r>
        <w:rPr>
          <w:spacing w:val="-10"/>
        </w:rPr>
        <w:t> </w:t>
      </w:r>
      <w:r>
        <w:rPr/>
        <w:t>DIN</w:t>
      </w:r>
      <w:r>
        <w:rPr>
          <w:spacing w:val="-13"/>
        </w:rPr>
        <w:t> </w:t>
      </w:r>
      <w:r>
        <w:rPr/>
        <w:t>VDE 0888 Teil 3</w:t>
      </w:r>
    </w:p>
    <w:p>
      <w:pPr>
        <w:pStyle w:val="BodyText"/>
        <w:tabs>
          <w:tab w:pos="4348" w:val="left" w:leader="none"/>
        </w:tabs>
        <w:spacing w:before="61"/>
      </w:pPr>
      <w:r>
        <w:rPr>
          <w:spacing w:val="-2"/>
        </w:rPr>
        <w:t>Bodengrad</w:t>
      </w:r>
      <w:r>
        <w:rPr/>
        <w:tab/>
        <w:t>1 bis </w:t>
      </w:r>
      <w:r>
        <w:rPr>
          <w:spacing w:val="-10"/>
        </w:rPr>
        <w:t>5</w:t>
      </w:r>
    </w:p>
    <w:p>
      <w:pPr>
        <w:pStyle w:val="BodyText"/>
        <w:tabs>
          <w:tab w:pos="4333" w:val="left" w:leader="none"/>
          <w:tab w:pos="7948" w:val="left" w:leader="none"/>
        </w:tabs>
        <w:spacing w:before="78"/>
      </w:pPr>
      <w:r>
        <w:rPr/>
        <w:t>min. Biegeradius (fest </w:t>
      </w:r>
      <w:r>
        <w:rPr>
          <w:spacing w:val="-2"/>
        </w:rPr>
        <w:t>verlegt)</w:t>
      </w:r>
      <w:r>
        <w:rPr/>
        <w:tab/>
      </w:r>
      <w:r>
        <w:rPr>
          <w:spacing w:val="-5"/>
        </w:rPr>
        <w:t>514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78" w:val="left" w:leader="none"/>
        </w:tabs>
        <w:spacing w:before="79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63" w:val="left" w:leader="none"/>
          <w:tab w:pos="8418" w:val="right" w:leader="none"/>
        </w:tabs>
        <w:spacing w:before="78"/>
        <w:ind w:left="58"/>
      </w:pPr>
      <w:r>
        <w:rPr>
          <w:spacing w:val="-2"/>
        </w:rPr>
        <w:t>Querdruckfestigkeit</w:t>
      </w:r>
      <w:r>
        <w:rPr/>
        <w:tab/>
      </w:r>
      <w:r>
        <w:rPr>
          <w:spacing w:val="-4"/>
        </w:rPr>
        <w:t>1000</w:t>
      </w:r>
      <w:r>
        <w:rPr/>
        <w:tab/>
      </w:r>
      <w:r>
        <w:rPr>
          <w:spacing w:val="-4"/>
        </w:rPr>
        <w:t>1000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440"/>
        </w:sectPr>
      </w:pPr>
    </w:p>
    <w:p>
      <w:pPr>
        <w:pStyle w:val="BodyText"/>
        <w:spacing w:before="49"/>
        <w:ind w:left="58"/>
      </w:pPr>
      <w:r>
        <w:rPr/>
        <w:t>Zeitstand,</w:t>
      </w:r>
      <w:r>
        <w:rPr>
          <w:spacing w:val="-14"/>
        </w:rPr>
        <w:t> </w:t>
      </w:r>
      <w:r>
        <w:rPr/>
        <w:t>InnendruckVerhalten</w:t>
      </w:r>
      <w:r>
        <w:rPr>
          <w:spacing w:val="-14"/>
        </w:rPr>
        <w:t> </w:t>
      </w:r>
      <w:r>
        <w:rPr/>
        <w:t>nach</w:t>
      </w:r>
      <w:r>
        <w:rPr>
          <w:spacing w:val="-14"/>
        </w:rPr>
        <w:t> </w:t>
      </w:r>
      <w:r>
        <w:rPr/>
        <w:t>DIN </w:t>
      </w:r>
      <w:r>
        <w:rPr>
          <w:spacing w:val="-2"/>
        </w:rPr>
        <w:t>16874</w:t>
      </w:r>
    </w:p>
    <w:p>
      <w:pPr>
        <w:pStyle w:val="BodyText"/>
        <w:spacing w:before="78"/>
        <w:ind w:left="58"/>
      </w:pPr>
      <w:r>
        <w:rPr/>
        <w:br w:type="column"/>
      </w:r>
      <w:r>
        <w:rPr/>
        <w:t>Sigma 4,0 für 170 Std. bei </w:t>
      </w:r>
      <w:r>
        <w:rPr>
          <w:spacing w:val="-4"/>
        </w:rPr>
        <w:t>80°C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440"/>
          <w:cols w:num="2" w:equalWidth="0">
            <w:col w:w="3749" w:space="586"/>
            <w:col w:w="5025"/>
          </w:cols>
        </w:sectPr>
      </w:pPr>
    </w:p>
    <w:p>
      <w:pPr>
        <w:pStyle w:val="BodyText"/>
        <w:tabs>
          <w:tab w:pos="4333" w:val="left" w:leader="none"/>
          <w:tab w:pos="7978" w:val="left" w:leader="none"/>
        </w:tabs>
        <w:spacing w:before="59"/>
      </w:pPr>
      <w:r>
        <w:rPr/>
        <w:t>lineare </w:t>
      </w:r>
      <w:r>
        <w:rPr>
          <w:spacing w:val="-2"/>
        </w:rPr>
        <w:t>Expansion</w:t>
      </w:r>
      <w:r>
        <w:rPr/>
        <w:tab/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0,2</w:t>
      </w:r>
    </w:p>
    <w:p>
      <w:pPr>
        <w:pStyle w:val="BodyText"/>
        <w:tabs>
          <w:tab w:pos="4333" w:val="left" w:leader="none"/>
          <w:tab w:pos="7933" w:val="left" w:leader="none"/>
        </w:tabs>
        <w:spacing w:line="314" w:lineRule="auto" w:before="78"/>
        <w:ind w:right="1189"/>
      </w:pPr>
      <w:r>
        <w:rPr>
          <w:spacing w:val="-2"/>
        </w:rPr>
        <w:t>UV-Widerstandsfähigkeit</w:t>
      </w:r>
      <w:r>
        <w:rPr/>
        <w:tab/>
        <w:t>&gt; 2 Jahre (zentraleuropäisches Klima) Temperaturbereich </w:t>
      </w:r>
      <w:r>
        <w:rPr>
          <w:spacing w:val="-2"/>
        </w:rPr>
        <w:t>Transport/Lagerung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63" w:val="left" w:leader="none"/>
          <w:tab w:pos="7963" w:val="left" w:leader="none"/>
        </w:tabs>
        <w:spacing w:line="253" w:lineRule="exact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63" w:val="left" w:leader="none"/>
        </w:tabs>
        <w:spacing w:before="78"/>
      </w:pPr>
      <w:r>
        <w:rPr/>
        <w:t>Temperaturbereich </w:t>
      </w:r>
      <w:r>
        <w:rPr>
          <w:spacing w:val="-2"/>
        </w:rPr>
        <w:t>Einblasen</w:t>
      </w:r>
      <w:r>
        <w:rPr/>
        <w:tab/>
        <w:t>-5 bis </w:t>
      </w:r>
      <w:r>
        <w:rPr>
          <w:spacing w:val="-5"/>
        </w:rPr>
        <w:t>35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48" w:val="left" w:leader="none"/>
          <w:tab w:pos="7948" w:val="left" w:leader="none"/>
        </w:tabs>
        <w:spacing w:before="79"/>
      </w:pPr>
      <w:r>
        <w:rPr>
          <w:spacing w:val="-2"/>
        </w:rPr>
        <w:t>Liefermenge</w:t>
      </w:r>
      <w:r>
        <w:rPr/>
        <w:tab/>
      </w:r>
      <w:r>
        <w:rPr>
          <w:spacing w:val="-5"/>
        </w:rPr>
        <w:t>700</w:t>
      </w:r>
      <w:r>
        <w:rPr/>
        <w:tab/>
      </w:r>
      <w:r>
        <w:rPr>
          <w:spacing w:val="-10"/>
        </w:rPr>
        <w:t>m</w:t>
      </w:r>
    </w:p>
    <w:p>
      <w:pPr>
        <w:pStyle w:val="BodyText"/>
        <w:tabs>
          <w:tab w:pos="4348" w:val="left" w:leader="none"/>
        </w:tabs>
        <w:spacing w:before="78"/>
      </w:pPr>
      <w:r>
        <w:rPr>
          <w:spacing w:val="-2"/>
        </w:rPr>
        <w:t>Trommeltyp</w:t>
      </w:r>
      <w:r>
        <w:rPr/>
        <w:tab/>
      </w:r>
      <w:r>
        <w:rPr>
          <w:spacing w:val="-2"/>
        </w:rPr>
        <w:t>Rückgabetrommel</w:t>
      </w:r>
    </w:p>
    <w:p>
      <w:pPr>
        <w:pStyle w:val="BodyText"/>
        <w:spacing w:before="174"/>
        <w:ind w:left="0"/>
      </w:pPr>
    </w:p>
    <w:p>
      <w:pPr>
        <w:pStyle w:val="BodyText"/>
        <w:tabs>
          <w:tab w:pos="4333" w:val="left" w:leader="none"/>
        </w:tabs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440"/>
        </w:sectPr>
      </w:pPr>
    </w:p>
    <w:p>
      <w:pPr>
        <w:pStyle w:val="BodyText"/>
        <w:spacing w:before="74"/>
      </w:pPr>
      <w:r>
        <w:rPr>
          <w:spacing w:val="-5"/>
        </w:rPr>
        <w:t>Typ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8"/>
        <w:ind w:left="0"/>
      </w:pPr>
    </w:p>
    <w:p>
      <w:pPr>
        <w:pStyle w:val="BodyText"/>
        <w:spacing w:before="1"/>
      </w:pPr>
      <w:r>
        <w:rPr/>
        <w:t>Liefern, </w:t>
      </w:r>
      <w:r>
        <w:rPr>
          <w:spacing w:val="-2"/>
        </w:rPr>
        <w:t>montieren</w:t>
      </w:r>
    </w:p>
    <w:sectPr>
      <w:pgSz w:w="12240" w:h="15840"/>
      <w:pgMar w:top="14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2025-10-29T10:37:44Z</dcterms:created>
  <dcterms:modified xsi:type="dcterms:W3CDTF">2025-10-29T10:37:44Z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Developer Express Inc. DXperience (tm) v23.1.6</vt:lpwstr>
  </property>
</Properties>
</file>