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A-D(ZN)2Y 1x12E </w:t>
      </w:r>
      <w:r>
        <w:rPr>
          <w:spacing w:val="-2"/>
          <w:sz w:val="22"/>
        </w:rPr>
        <w:t>9/125</w:t>
      </w:r>
    </w:p>
    <w:p>
      <w:pPr>
        <w:spacing w:before="78"/>
        <w:ind w:left="4723" w:right="0" w:firstLine="0"/>
        <w:jc w:val="left"/>
        <w:rPr>
          <w:sz w:val="22"/>
        </w:rPr>
      </w:pPr>
      <w:r>
        <w:rPr>
          <w:sz w:val="22"/>
        </w:rPr>
        <w:t>Micro Kabel, 3,5mm, </w:t>
      </w:r>
      <w:r>
        <w:rPr>
          <w:spacing w:val="-2"/>
          <w:sz w:val="22"/>
        </w:rPr>
        <w:t>G657A1</w:t>
      </w:r>
    </w:p>
    <w:p>
      <w:pPr>
        <w:pStyle w:val="BodyText"/>
        <w:spacing w:before="156"/>
        <w:rPr>
          <w:sz w:val="22"/>
        </w:rPr>
      </w:pPr>
    </w:p>
    <w:p>
      <w:pPr>
        <w:spacing w:line="314" w:lineRule="auto" w:before="0"/>
        <w:ind w:left="4723" w:right="3428" w:firstLine="0"/>
        <w:jc w:val="left"/>
        <w:rPr>
          <w:sz w:val="22"/>
        </w:rPr>
      </w:pPr>
      <w:r>
        <w:rPr>
          <w:spacing w:val="-4"/>
          <w:sz w:val="22"/>
        </w:rPr>
        <w:t>Fca </w:t>
      </w:r>
      <w:r>
        <w:rPr>
          <w:spacing w:val="-2"/>
          <w:sz w:val="22"/>
        </w:rPr>
        <w:t>t30459112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2025-05-23T08:57:51Z</dcterms:created>
  <dcterms:modified xsi:type="dcterms:W3CDTF">2025-05-23T08:57:51Z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