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19" LWL Spleißbox unbestückt nicht </w:t>
      </w:r>
      <w:r>
        <w:rPr>
          <w:spacing w:val="-2"/>
        </w:rPr>
        <w:t>ausziehbar</w:t>
      </w:r>
    </w:p>
    <w:p>
      <w:pPr>
        <w:pStyle w:val="BodyText"/>
        <w:spacing w:before="45"/>
        <w:rPr>
          <w:b/>
          <w:sz w:val="24"/>
        </w:rPr>
      </w:pPr>
    </w:p>
    <w:p>
      <w:pPr>
        <w:pStyle w:val="BodyText"/>
        <w:ind w:left="388"/>
      </w:pPr>
      <w:r>
        <w:rPr/>
        <w:t>Geeignet für den Einbau in 19“-</w:t>
      </w:r>
      <w:r>
        <w:rPr>
          <w:spacing w:val="-2"/>
        </w:rPr>
        <w:t>Schränke</w:t>
      </w:r>
    </w:p>
    <w:p>
      <w:pPr>
        <w:pStyle w:val="BodyText"/>
        <w:ind w:left="388" w:right="232"/>
      </w:pPr>
      <w:r>
        <w:rPr/>
        <w:t>Universelle</w:t>
      </w:r>
      <w:r>
        <w:rPr>
          <w:spacing w:val="-14"/>
        </w:rPr>
        <w:t> </w:t>
      </w:r>
      <w:r>
        <w:rPr/>
        <w:t>Aufnahme</w:t>
      </w:r>
      <w:r>
        <w:rPr>
          <w:spacing w:val="-7"/>
        </w:rPr>
        <w:t> </w:t>
      </w:r>
      <w:r>
        <w:rPr/>
        <w:t>aller</w:t>
      </w:r>
      <w:r>
        <w:rPr>
          <w:spacing w:val="-5"/>
        </w:rPr>
        <w:t> </w:t>
      </w:r>
      <w:r>
        <w:rPr/>
        <w:t>gängigen</w:t>
      </w:r>
      <w:r>
        <w:rPr>
          <w:spacing w:val="-5"/>
        </w:rPr>
        <w:t> </w:t>
      </w:r>
      <w:r>
        <w:rPr/>
        <w:t>werks-</w:t>
      </w:r>
      <w:r>
        <w:rPr>
          <w:spacing w:val="-5"/>
        </w:rPr>
        <w:t> </w:t>
      </w:r>
      <w:r>
        <w:rPr/>
        <w:t>oder</w:t>
      </w:r>
      <w:r>
        <w:rPr>
          <w:spacing w:val="-5"/>
        </w:rPr>
        <w:t> </w:t>
      </w:r>
      <w:r>
        <w:rPr/>
        <w:t>vor</w:t>
      </w:r>
      <w:r>
        <w:rPr>
          <w:spacing w:val="-5"/>
        </w:rPr>
        <w:t> </w:t>
      </w:r>
      <w:r>
        <w:rPr/>
        <w:t>Ort</w:t>
      </w:r>
      <w:r>
        <w:rPr>
          <w:spacing w:val="-5"/>
        </w:rPr>
        <w:t> </w:t>
      </w:r>
      <w:r>
        <w:rPr/>
        <w:t>konfektionierten</w:t>
      </w:r>
      <w:r>
        <w:rPr>
          <w:spacing w:val="-5"/>
        </w:rPr>
        <w:t> </w:t>
      </w:r>
      <w:r>
        <w:rPr/>
        <w:t>Kabeltypen Verwendung als Trockenmuffe möglich</w:t>
      </w:r>
    </w:p>
    <w:p>
      <w:pPr>
        <w:pStyle w:val="BodyText"/>
        <w:ind w:left="388"/>
      </w:pPr>
      <w:r>
        <w:rPr/>
        <w:t>Integrierte </w:t>
      </w:r>
      <w:r>
        <w:rPr>
          <w:spacing w:val="-2"/>
        </w:rPr>
        <w:t>Steckerplatte</w:t>
      </w:r>
    </w:p>
    <w:p>
      <w:pPr>
        <w:pStyle w:val="BodyText"/>
        <w:ind w:left="388"/>
      </w:pPr>
      <w:r>
        <w:rPr/>
        <w:t>Beidseitige Kabeleinführungen </w:t>
      </w:r>
      <w:r>
        <w:rPr>
          <w:spacing w:val="-2"/>
        </w:rPr>
        <w:t>hinten</w:t>
      </w:r>
    </w:p>
    <w:p>
      <w:pPr>
        <w:pStyle w:val="BodyText"/>
        <w:ind w:left="388"/>
      </w:pPr>
      <w:r>
        <w:rPr/>
        <w:t>Kabelbefestigung</w:t>
      </w:r>
      <w:r>
        <w:rPr>
          <w:spacing w:val="-7"/>
        </w:rPr>
        <w:t> </w:t>
      </w:r>
      <w:r>
        <w:rPr/>
        <w:t>direkt</w:t>
      </w:r>
      <w:r>
        <w:rPr>
          <w:spacing w:val="-7"/>
        </w:rPr>
        <w:t> </w:t>
      </w:r>
      <w:r>
        <w:rPr/>
        <w:t>am</w:t>
      </w:r>
      <w:r>
        <w:rPr>
          <w:spacing w:val="-7"/>
        </w:rPr>
        <w:t> </w:t>
      </w:r>
      <w:r>
        <w:rPr/>
        <w:t>Gehäuse</w:t>
      </w:r>
      <w:r>
        <w:rPr>
          <w:spacing w:val="-7"/>
        </w:rPr>
        <w:t> </w:t>
      </w:r>
      <w:r>
        <w:rPr/>
        <w:t>oder</w:t>
      </w:r>
      <w:r>
        <w:rPr>
          <w:spacing w:val="-7"/>
        </w:rPr>
        <w:t> </w:t>
      </w:r>
      <w:r>
        <w:rPr/>
        <w:t>über</w:t>
      </w:r>
      <w:r>
        <w:rPr>
          <w:spacing w:val="-7"/>
        </w:rPr>
        <w:t> </w:t>
      </w:r>
      <w:r>
        <w:rPr/>
        <w:t>PG-Verschraubung</w:t>
      </w:r>
      <w:r>
        <w:rPr>
          <w:spacing w:val="-7"/>
        </w:rPr>
        <w:t> </w:t>
      </w:r>
      <w:r>
        <w:rPr/>
        <w:t>(nicht</w:t>
      </w:r>
      <w:r>
        <w:rPr>
          <w:spacing w:val="-7"/>
        </w:rPr>
        <w:t> </w:t>
      </w:r>
      <w:r>
        <w:rPr/>
        <w:t>im</w:t>
      </w:r>
      <w:r>
        <w:rPr>
          <w:spacing w:val="-7"/>
        </w:rPr>
        <w:t> </w:t>
      </w:r>
      <w:r>
        <w:rPr/>
        <w:t>Lieferumfang</w:t>
      </w:r>
      <w:r>
        <w:rPr>
          <w:spacing w:val="-7"/>
        </w:rPr>
        <w:t> </w:t>
      </w:r>
      <w:r>
        <w:rPr/>
        <w:t>enthalten) Gehäuse inklusive Kabel für Spleißarbeiten demontierbar</w:t>
      </w:r>
    </w:p>
    <w:p>
      <w:pPr>
        <w:pStyle w:val="BodyText"/>
        <w:spacing w:before="169" w:after="1"/>
        <w:rPr>
          <w:sz w:val="20"/>
        </w:rPr>
      </w:pPr>
    </w:p>
    <w:tbl>
      <w:tblPr>
        <w:tblW w:w="0" w:type="auto"/>
        <w:jc w:val="left"/>
        <w:tblInd w:w="3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19"/>
        <w:gridCol w:w="3971"/>
        <w:gridCol w:w="874"/>
      </w:tblGrid>
      <w:tr>
        <w:trPr>
          <w:trHeight w:val="949" w:hRule="atLeast"/>
        </w:trPr>
        <w:tc>
          <w:tcPr>
            <w:tcW w:w="3519" w:type="dxa"/>
          </w:tcPr>
          <w:p>
            <w:pPr>
              <w:pStyle w:val="TableParagraph"/>
              <w:spacing w:line="314" w:lineRule="auto" w:before="0"/>
              <w:ind w:left="50" w:right="2719"/>
              <w:rPr>
                <w:sz w:val="22"/>
              </w:rPr>
            </w:pPr>
            <w:r>
              <w:rPr>
                <w:spacing w:val="-2"/>
                <w:sz w:val="22"/>
              </w:rPr>
              <w:t>Material Farbe</w:t>
            </w:r>
          </w:p>
          <w:p>
            <w:pPr>
              <w:pStyle w:val="TableParagraph"/>
              <w:spacing w:line="253" w:lineRule="exact" w:before="0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Breite</w:t>
            </w:r>
          </w:p>
        </w:tc>
        <w:tc>
          <w:tcPr>
            <w:tcW w:w="3971" w:type="dxa"/>
          </w:tcPr>
          <w:p>
            <w:pPr>
              <w:pStyle w:val="TableParagraph"/>
              <w:spacing w:line="244" w:lineRule="exact" w:before="0"/>
              <w:ind w:left="866"/>
              <w:rPr>
                <w:sz w:val="22"/>
              </w:rPr>
            </w:pPr>
            <w:r>
              <w:rPr>
                <w:sz w:val="22"/>
              </w:rPr>
              <w:t>1,5mm </w:t>
            </w:r>
            <w:r>
              <w:rPr>
                <w:spacing w:val="-2"/>
                <w:sz w:val="22"/>
              </w:rPr>
              <w:t>Stahlblech</w:t>
            </w:r>
          </w:p>
          <w:p>
            <w:pPr>
              <w:pStyle w:val="TableParagraph"/>
              <w:spacing w:line="330" w:lineRule="atLeast" w:before="1"/>
              <w:ind w:left="866" w:right="225"/>
              <w:rPr>
                <w:sz w:val="22"/>
              </w:rPr>
            </w:pPr>
            <w:r>
              <w:rPr>
                <w:sz w:val="22"/>
              </w:rPr>
              <w:t>lichtgrau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(ähnlich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RAL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7035) </w:t>
            </w:r>
            <w:r>
              <w:rPr>
                <w:spacing w:val="-4"/>
                <w:sz w:val="22"/>
              </w:rPr>
              <w:t>483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  <w:p>
            <w:pPr>
              <w:pStyle w:val="TableParagraph"/>
              <w:spacing w:before="147"/>
              <w:rPr>
                <w:sz w:val="22"/>
              </w:rPr>
            </w:pPr>
          </w:p>
          <w:p>
            <w:pPr>
              <w:pStyle w:val="TableParagraph"/>
              <w:spacing w:before="0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Tiefe</w:t>
            </w:r>
          </w:p>
        </w:tc>
        <w:tc>
          <w:tcPr>
            <w:tcW w:w="3971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230</w:t>
            </w:r>
          </w:p>
        </w:tc>
        <w:tc>
          <w:tcPr>
            <w:tcW w:w="874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4"/>
                <w:sz w:val="22"/>
              </w:rPr>
              <w:t>Höhe</w:t>
            </w:r>
          </w:p>
        </w:tc>
        <w:tc>
          <w:tcPr>
            <w:tcW w:w="3971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  <w:tc>
          <w:tcPr>
            <w:tcW w:w="874" w:type="dxa"/>
          </w:tcPr>
          <w:p>
            <w:pPr>
              <w:pStyle w:val="TableParagraph"/>
              <w:ind w:right="4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mm</w:t>
            </w: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Höheneinheiten</w:t>
            </w:r>
          </w:p>
        </w:tc>
        <w:tc>
          <w:tcPr>
            <w:tcW w:w="3971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874" w:type="dxa"/>
          </w:tcPr>
          <w:p>
            <w:pPr>
              <w:pStyle w:val="TableParagraph"/>
              <w:ind w:right="98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HE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Gewicht</w:t>
            </w:r>
          </w:p>
        </w:tc>
        <w:tc>
          <w:tcPr>
            <w:tcW w:w="3971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874" w:type="dxa"/>
          </w:tcPr>
          <w:p>
            <w:pPr>
              <w:pStyle w:val="TableParagraph"/>
              <w:ind w:right="173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kg</w:t>
            </w:r>
          </w:p>
        </w:tc>
      </w:tr>
      <w:tr>
        <w:trPr>
          <w:trHeight w:val="506" w:hRule="atLeast"/>
        </w:trPr>
        <w:tc>
          <w:tcPr>
            <w:tcW w:w="3519" w:type="dxa"/>
          </w:tcPr>
          <w:p>
            <w:pPr>
              <w:pStyle w:val="TableParagraph"/>
              <w:spacing w:before="209"/>
              <w:ind w:left="50"/>
              <w:rPr>
                <w:sz w:val="22"/>
              </w:rPr>
            </w:pPr>
            <w:r>
              <w:rPr>
                <w:sz w:val="22"/>
              </w:rPr>
              <w:t>Für </w:t>
            </w:r>
            <w:r>
              <w:rPr>
                <w:spacing w:val="-2"/>
                <w:sz w:val="22"/>
              </w:rPr>
              <w:t>Kupplungstyp</w:t>
            </w:r>
          </w:p>
        </w:tc>
        <w:tc>
          <w:tcPr>
            <w:tcW w:w="3971" w:type="dxa"/>
          </w:tcPr>
          <w:p>
            <w:pPr>
              <w:pStyle w:val="TableParagraph"/>
              <w:spacing w:before="209"/>
              <w:ind w:left="866"/>
              <w:rPr>
                <w:sz w:val="22"/>
              </w:rPr>
            </w:pPr>
            <w:r>
              <w:rPr>
                <w:sz w:val="22"/>
              </w:rPr>
              <w:t>E2000®-</w:t>
            </w:r>
            <w:r>
              <w:rPr>
                <w:spacing w:val="-2"/>
                <w:sz w:val="22"/>
              </w:rPr>
              <w:t>Compact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331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Kupplungen</w:t>
            </w:r>
          </w:p>
        </w:tc>
        <w:tc>
          <w:tcPr>
            <w:tcW w:w="3971" w:type="dxa"/>
          </w:tcPr>
          <w:p>
            <w:pPr>
              <w:pStyle w:val="TableParagraph"/>
              <w:ind w:left="866"/>
              <w:rPr>
                <w:sz w:val="22"/>
              </w:rPr>
            </w:pPr>
            <w:r>
              <w:rPr>
                <w:spacing w:val="-5"/>
                <w:sz w:val="22"/>
              </w:rPr>
              <w:t>24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492" w:hRule="atLeast"/>
        </w:trPr>
        <w:tc>
          <w:tcPr>
            <w:tcW w:w="3519" w:type="dxa"/>
          </w:tcPr>
          <w:p>
            <w:pPr>
              <w:pStyle w:val="TableParagraph"/>
              <w:ind w:left="50"/>
              <w:rPr>
                <w:sz w:val="22"/>
              </w:rPr>
            </w:pPr>
            <w:r>
              <w:rPr>
                <w:sz w:val="22"/>
              </w:rPr>
              <w:t>max. Anzahl der </w:t>
            </w:r>
            <w:r>
              <w:rPr>
                <w:spacing w:val="-2"/>
                <w:sz w:val="22"/>
              </w:rPr>
              <w:t>Spleiße</w:t>
            </w:r>
          </w:p>
        </w:tc>
        <w:tc>
          <w:tcPr>
            <w:tcW w:w="3971" w:type="dxa"/>
          </w:tcPr>
          <w:p>
            <w:pPr>
              <w:pStyle w:val="TableParagraph"/>
              <w:ind w:left="865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630" w:hRule="atLeast"/>
        </w:trPr>
        <w:tc>
          <w:tcPr>
            <w:tcW w:w="3519" w:type="dxa"/>
          </w:tcPr>
          <w:p>
            <w:pPr>
              <w:pStyle w:val="TableParagraph"/>
              <w:spacing w:before="195"/>
              <w:ind w:left="50"/>
              <w:rPr>
                <w:sz w:val="22"/>
              </w:rPr>
            </w:pPr>
            <w:r>
              <w:rPr>
                <w:spacing w:val="-2"/>
                <w:sz w:val="22"/>
              </w:rPr>
              <w:t>Fabrikat</w:t>
            </w:r>
          </w:p>
        </w:tc>
        <w:tc>
          <w:tcPr>
            <w:tcW w:w="3971" w:type="dxa"/>
          </w:tcPr>
          <w:p>
            <w:pPr>
              <w:pStyle w:val="TableParagraph"/>
              <w:spacing w:before="195"/>
              <w:ind w:left="866"/>
              <w:rPr>
                <w:sz w:val="22"/>
              </w:rPr>
            </w:pPr>
            <w:r>
              <w:rPr>
                <w:sz w:val="22"/>
              </w:rPr>
              <w:t>eku oder </w:t>
            </w:r>
            <w:r>
              <w:rPr>
                <w:spacing w:val="-2"/>
                <w:sz w:val="22"/>
              </w:rPr>
              <w:t>gleichwertig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  <w:tr>
        <w:trPr>
          <w:trHeight w:val="757" w:hRule="atLeast"/>
        </w:trPr>
        <w:tc>
          <w:tcPr>
            <w:tcW w:w="3519" w:type="dxa"/>
          </w:tcPr>
          <w:p>
            <w:pPr>
              <w:pStyle w:val="TableParagraph"/>
              <w:spacing w:before="173"/>
              <w:ind w:left="50"/>
              <w:rPr>
                <w:sz w:val="22"/>
              </w:rPr>
            </w:pPr>
            <w:r>
              <w:rPr>
                <w:spacing w:val="-5"/>
                <w:sz w:val="22"/>
              </w:rPr>
              <w:t>Typ</w:t>
            </w:r>
          </w:p>
        </w:tc>
        <w:tc>
          <w:tcPr>
            <w:tcW w:w="3971" w:type="dxa"/>
          </w:tcPr>
          <w:p>
            <w:pPr>
              <w:pStyle w:val="TableParagraph"/>
              <w:spacing w:line="330" w:lineRule="atLeast" w:before="77"/>
              <w:ind w:left="865"/>
              <w:rPr>
                <w:sz w:val="22"/>
              </w:rPr>
            </w:pPr>
            <w:r>
              <w:rPr>
                <w:sz w:val="22"/>
              </w:rPr>
              <w:t>19"Spleißbox, M-fix, 1HE 24xE2000®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Duplex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Compact</w:t>
            </w:r>
          </w:p>
        </w:tc>
        <w:tc>
          <w:tcPr>
            <w:tcW w:w="874" w:type="dxa"/>
          </w:tcPr>
          <w:p>
            <w:pPr>
              <w:pStyle w:val="TableParagraph"/>
              <w:spacing w:before="0"/>
              <w:rPr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8"/>
      </w:pPr>
    </w:p>
    <w:p>
      <w:pPr>
        <w:pStyle w:val="BodyText"/>
        <w:ind w:left="388"/>
      </w:pPr>
      <w:r>
        <w:rPr/>
        <w:t>Liefern, </w:t>
      </w:r>
      <w:r>
        <w:rPr>
          <w:spacing w:val="-2"/>
        </w:rPr>
        <w:t>montieren</w:t>
      </w:r>
    </w:p>
    <w:sectPr>
      <w:type w:val="continuous"/>
      <w:pgSz w:w="12240" w:h="15840"/>
      <w:pgMar w:top="1400" w:bottom="280" w:left="108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de-DE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de-DE" w:eastAsia="en-US" w:bidi="ar-SA"/>
    </w:rPr>
  </w:style>
  <w:style w:styleId="Heading1" w:type="paragraph">
    <w:name w:val="Heading 1"/>
    <w:basedOn w:val="Normal"/>
    <w:uiPriority w:val="1"/>
    <w:qFormat/>
    <w:pPr>
      <w:spacing w:before="62"/>
      <w:ind w:left="38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>
      <w:spacing w:before="34"/>
    </w:pPr>
    <w:rPr>
      <w:rFonts w:ascii="Times New Roman" w:hAnsi="Times New Roman" w:eastAsia="Times New Roman" w:cs="Times New Roman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2025-11-07T11:45:16Z</dcterms:created>
  <dcterms:modified xsi:type="dcterms:W3CDTF">2025-11-07T11:45:16Z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2025-11-07T00:00:00Z</vt:filetime>
  </property>
  <property fmtid="{D5CDD505-2E9C-101B-9397-08002B2CF9AE}" pid="4" name="Producer">
    <vt:lpwstr>Developer Express Inc. DXperience (tm) v23.1.6</vt:lpwstr>
  </property>
</Properties>
</file>