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ausziehbare </w:t>
      </w:r>
      <w:r>
        <w:rPr>
          <w:spacing w:val="-2"/>
        </w:rPr>
        <w:t>Steckerplatte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Konzipiert für den Einbau in 19“-</w:t>
      </w:r>
      <w:r>
        <w:rPr>
          <w:spacing w:val="-2"/>
        </w:rPr>
        <w:t>Schränke</w:t>
      </w:r>
    </w:p>
    <w:p>
      <w:pPr>
        <w:pStyle w:val="BodyText"/>
        <w:ind w:left="388" w:right="89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Kann als Trockenmuffe verwendet werden</w:t>
      </w:r>
    </w:p>
    <w:p>
      <w:pPr>
        <w:pStyle w:val="BodyText"/>
        <w:ind w:left="388" w:right="2016"/>
      </w:pPr>
      <w:r>
        <w:rPr/>
        <w:t>Kompakte</w:t>
      </w:r>
      <w:r>
        <w:rPr>
          <w:spacing w:val="-14"/>
        </w:rPr>
        <w:t> </w:t>
      </w:r>
      <w:r>
        <w:rPr/>
        <w:t>Ausführung</w:t>
      </w:r>
      <w:r>
        <w:rPr>
          <w:spacing w:val="-10"/>
        </w:rPr>
        <w:t> </w:t>
      </w:r>
      <w:r>
        <w:rPr/>
        <w:t>mit</w:t>
      </w:r>
      <w:r>
        <w:rPr>
          <w:spacing w:val="-7"/>
        </w:rPr>
        <w:t> </w:t>
      </w:r>
      <w:r>
        <w:rPr/>
        <w:t>ausziehbarer</w:t>
      </w:r>
      <w:r>
        <w:rPr>
          <w:spacing w:val="-7"/>
        </w:rPr>
        <w:t> </w:t>
      </w:r>
      <w:r>
        <w:rPr/>
        <w:t>Steckerplatte</w:t>
      </w:r>
      <w:r>
        <w:rPr>
          <w:spacing w:val="-7"/>
        </w:rPr>
        <w:t> </w:t>
      </w:r>
      <w:r>
        <w:rPr/>
        <w:t>und</w:t>
      </w:r>
      <w:r>
        <w:rPr>
          <w:spacing w:val="-7"/>
        </w:rPr>
        <w:t> </w:t>
      </w:r>
      <w:r>
        <w:rPr/>
        <w:t>Schnellverschlüssen Beidseitige Kabeleinführungen hinten</w:t>
      </w:r>
    </w:p>
    <w:p>
      <w:pPr>
        <w:pStyle w:val="BodyText"/>
        <w:ind w:left="388"/>
      </w:pPr>
      <w:r>
        <w:rPr/>
        <w:t>Flexible</w:t>
      </w:r>
      <w:r>
        <w:rPr>
          <w:spacing w:val="-7"/>
        </w:rPr>
        <w:t> </w:t>
      </w: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 </w:t>
      </w:r>
      <w:r>
        <w:rPr>
          <w:spacing w:val="-2"/>
        </w:rPr>
        <w:t>enthalten)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4130"/>
        <w:gridCol w:w="715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4130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384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147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3,5</w:t>
            </w:r>
          </w:p>
        </w:tc>
        <w:tc>
          <w:tcPr>
            <w:tcW w:w="715" w:type="dxa"/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4130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E2000®;SC-Simplex;LC-</w:t>
            </w:r>
            <w:r>
              <w:rPr>
                <w:spacing w:val="-2"/>
                <w:sz w:val="22"/>
              </w:rPr>
              <w:t>Duplex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4130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4130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4130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1088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4130" w:type="dxa"/>
          </w:tcPr>
          <w:p>
            <w:pPr>
              <w:pStyle w:val="TableParagraph"/>
              <w:spacing w:line="314" w:lineRule="auto" w:before="173"/>
              <w:ind w:left="865" w:right="776"/>
              <w:rPr>
                <w:sz w:val="22"/>
              </w:rPr>
            </w:pPr>
            <w:r>
              <w:rPr>
                <w:sz w:val="22"/>
              </w:rPr>
              <w:t>19"Spleißbox,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M-easy,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1HE </w:t>
            </w:r>
            <w:r>
              <w:rPr>
                <w:spacing w:val="-2"/>
                <w:sz w:val="22"/>
              </w:rPr>
              <w:t>24xSC-S/E2000-®/LC-D</w:t>
            </w:r>
          </w:p>
          <w:p>
            <w:pPr>
              <w:pStyle w:val="TableParagraph"/>
              <w:spacing w:line="233" w:lineRule="exact" w:before="0"/>
              <w:ind w:left="865"/>
              <w:rPr>
                <w:sz w:val="22"/>
              </w:rPr>
            </w:pPr>
            <w:r>
              <w:rPr>
                <w:spacing w:val="-2"/>
                <w:sz w:val="22"/>
              </w:rPr>
              <w:t>Rändelschr.</w:t>
            </w:r>
          </w:p>
        </w:tc>
        <w:tc>
          <w:tcPr>
            <w:tcW w:w="715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  <w:ind w:left="50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2025-11-07T10:14:39Z</dcterms:created>
  <dcterms:modified xsi:type="dcterms:W3CDTF">2025-11-07T10:14:39Z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