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1D426C8" Type="http://schemas.openxmlformats.org/officeDocument/2006/relationships/officeDocument" Target="/word/document.xml" /><Relationship Id="coreR61D426C8" Type="http://schemas.openxmlformats.org/package/2006/relationships/metadata/core-properties" Target="/docProps/core.xml" /><Relationship Id="customR61D426C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5000N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Erd-, Kanal- oder Rohrkabel eingesetzt werden.</w:t>
        <w:br w:type="textWrapping"/>
        <w:t>Bündelader gel-gefüllt mit Außendurchmesser 2,3mm.</w:t>
        <w:br w:type="textWrapping"/>
        <w:t>Farbcode Fasern: rot, grün, blau, gelb, weiß, grau, braun, violett, türkis, schwarz, orange, rosa, Farbcode Adern: Zählader rot, Zählrichtungsader weiß, andere Adern gelb (E9/125), grün (G50/125), oder blau (G62,5/125).</w:t>
        <w:br w:type="textWrapping"/>
        <w:t>Bündeladern und ggf. Blindelemente um zentrales Stützelement aus glasfaserverstärktem Kunststoff (GFK) verseilt.</w:t>
        <w:br w:type="textWrapping"/>
        <w:t>Stützelement kann aufgedickt sein. Glasrovingumspinnung, zweilagig (links und rechts Drall) als Zugentlastungselemente und nichtmetallischer Nagetierschutz.</w:t>
        <w:br w:type="textWrapping"/>
        <w:t>Außenmantel halogenfreies und flammwidriges Material (FRNC) für Erdverlegung geeignet.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5</w:t>
      </w:r>
    </w:p>
    <w:p>
      <w:pPr>
        <w:pStyle w:val="P3"/>
        <w:framePr w:w="1384" w:h="331" w:hRule="exact" w:wrap="none" w:vAnchor="page" w:hAnchor="margin" w:x="791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11,2</w:t>
      </w:r>
    </w:p>
    <w:p>
      <w:pPr>
        <w:pStyle w:val="P3"/>
        <w:framePr w:w="138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230</w:t>
      </w:r>
    </w:p>
    <w:p>
      <w:pPr>
        <w:pStyle w:val="P3"/>
        <w:framePr w:w="135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136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5000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909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1,9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0088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-5 bis 60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750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813" w:hRule="exact" w:wrap="none" w:vAnchor="page" w:hAnchor="margin" w:x="4363" w:y="10750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flammwidrig: nach IEC 60332-1</w:t>
        <w:br w:type="textWrapping"/>
        <w:t>nicht korrosiv: nach IEC 60754-2</w:t>
        <w:br w:type="textWrapping"/>
        <w:t>raucharm: nach IEC 61034</w:t>
        <w:br w:type="textWrapping"/>
        <w:t>UV-Beständigkeit: nach IEC 61794-1-22</w:t>
        <w:br w:type="textWrapping"/>
        <w:t>Brandklasse: nach EN 13501-6</w:t>
        <w:br w:type="textWrapping"/>
        <w:t>IEC 60794-1</w:t>
        <w:br w:type="textWrapping"/>
        <w:t>EN 50575</w:t>
      </w:r>
    </w:p>
    <w:p>
      <w:pPr>
        <w:pStyle w:val="P3"/>
        <w:framePr w:w="1384" w:h="331" w:hRule="exact" w:wrap="none" w:vAnchor="page" w:hAnchor="margin" w:x="7948" w:y="10750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390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390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4471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4471"/>
        <w:rPr>
          <w:rStyle w:val="C6"/>
          <w:rtl w:val="0"/>
        </w:rPr>
      </w:pPr>
      <w:r>
        <w:rPr>
          <w:rStyle w:val="C6"/>
          <w:rtl w:val="0"/>
        </w:rPr>
        <w:t>I/A-DQ(ZN)BH 1x12E 9/125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5000N, OS2</w:t>
      </w:r>
    </w:p>
    <w:p>
      <w:pPr>
        <w:pStyle w:val="P3"/>
        <w:framePr w:w="3529" w:h="331" w:hRule="exact" w:wrap="none" w:vAnchor="page" w:hAnchor="margin" w:x="4363" w:y="177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2102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243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303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