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E2000® duplex / E2000® </w:t>
      </w:r>
      <w:r>
        <w:rPr>
          <w:spacing w:val="-2"/>
        </w:rPr>
        <w:t>duplex</w:t>
      </w:r>
    </w:p>
    <w:p>
      <w:pPr>
        <w:pStyle w:val="BodyText"/>
        <w:spacing w:before="38"/>
        <w:ind w:right="135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E2000®</w:t>
      </w:r>
      <w:r>
        <w:rPr>
          <w:spacing w:val="-4"/>
        </w:rPr>
        <w:t> </w:t>
      </w:r>
      <w:r>
        <w:rPr/>
        <w:t>Simlex-Steckern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 Push-Pull-Verriegelung sowie eine selbstschließende Staubschutzklappe verwenden</w:t>
      </w:r>
    </w:p>
    <w:p>
      <w:pPr>
        <w:pStyle w:val="BodyText"/>
        <w:ind w:right="104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892"/>
        <w:gridCol w:w="363"/>
      </w:tblGrid>
      <w:tr>
        <w:trPr>
          <w:trHeight w:val="2274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892" w:type="dxa"/>
          </w:tcPr>
          <w:p>
            <w:pPr>
              <w:pStyle w:val="TableParagraph"/>
              <w:spacing w:line="314" w:lineRule="auto"/>
              <w:ind w:left="386" w:right="276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E2000® </w:t>
            </w:r>
            <w:r>
              <w:rPr>
                <w:sz w:val="22"/>
              </w:rPr>
              <w:t>8° APC </w:t>
            </w:r>
            <w:r>
              <w:rPr>
                <w:spacing w:val="-2"/>
                <w:sz w:val="22"/>
              </w:rPr>
              <w:t>E2000® </w:t>
            </w:r>
            <w:r>
              <w:rPr>
                <w:sz w:val="22"/>
              </w:rPr>
              <w:t>8° APC</w:t>
            </w:r>
          </w:p>
          <w:p>
            <w:pPr>
              <w:pStyle w:val="TableParagraph"/>
              <w:spacing w:line="314" w:lineRule="auto"/>
              <w:ind w:left="386" w:right="2115"/>
              <w:rPr>
                <w:sz w:val="22"/>
              </w:rPr>
            </w:pPr>
            <w:r>
              <w:rPr>
                <w:spacing w:val="-2"/>
                <w:sz w:val="22"/>
              </w:rPr>
              <w:t>Singlemode </w:t>
            </w:r>
            <w:r>
              <w:rPr>
                <w:spacing w:val="-4"/>
                <w:sz w:val="22"/>
              </w:rPr>
              <w:t>OS2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07"/>
              <w:rPr>
                <w:sz w:val="22"/>
              </w:rPr>
            </w:pPr>
          </w:p>
          <w:p>
            <w:pPr>
              <w:pStyle w:val="TableParagraph"/>
              <w:ind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892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363" w:type="dxa"/>
          </w:tcPr>
          <w:p>
            <w:pPr>
              <w:pStyle w:val="TableParagraph"/>
              <w:spacing w:before="34"/>
              <w:ind w:left="60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892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892" w:type="dxa"/>
          </w:tcPr>
          <w:p>
            <w:pPr>
              <w:pStyle w:val="TableParagraph"/>
              <w:spacing w:before="173"/>
              <w:ind w:left="387"/>
              <w:rPr>
                <w:sz w:val="22"/>
              </w:rPr>
            </w:pPr>
            <w:r>
              <w:rPr>
                <w:sz w:val="22"/>
              </w:rPr>
              <w:t>LWL-Duplexkabel </w:t>
            </w:r>
            <w:r>
              <w:rPr>
                <w:spacing w:val="-2"/>
                <w:sz w:val="22"/>
              </w:rPr>
              <w:t>9/125</w:t>
            </w:r>
          </w:p>
          <w:p>
            <w:pPr>
              <w:pStyle w:val="TableParagraph"/>
              <w:spacing w:before="78"/>
              <w:ind w:left="387"/>
              <w:rPr>
                <w:sz w:val="22"/>
              </w:rPr>
            </w:pPr>
            <w:r>
              <w:rPr>
                <w:sz w:val="22"/>
              </w:rPr>
              <w:t>E2000® HRL/E2000® HRL, 2m, </w:t>
            </w:r>
            <w:r>
              <w:rPr>
                <w:spacing w:val="-5"/>
                <w:sz w:val="22"/>
              </w:rPr>
              <w:t>OS2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92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t50343772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2025-04-24T11:22:00Z</dcterms:created>
  <dcterms:modified xsi:type="dcterms:W3CDTF">2025-04-24T11:22:00Z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