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B773F1A" Type="http://schemas.openxmlformats.org/officeDocument/2006/relationships/officeDocument" Target="/word/document.xml" /><Relationship Id="coreR2B773F1A" Type="http://schemas.openxmlformats.org/package/2006/relationships/metadata/core-properties" Target="/docProps/core.xml" /><Relationship Id="customR2B773F1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A-DQ(ZN)(SR)2Y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und Stahlrillenmantel.</w:t>
        <w:br w:type="textWrapping"/>
        <w:t>Geeignet für den Einzug in Rohranlagen, zur Verlegung in Betonkanälen und auf Kabelpritschen, kann auch direkt im Erdreich verwendet werden. Einsatz bei erhöhter Gefahr durch Nagetiere.</w:t>
        <w:br w:type="textWrapping"/>
        <w:t>Robustes Kabel, Stahlrillenmantel als Nagetier- und mechanischer Schutz, längswasserdicht, UV-beständig, trockene Seelenfüllung.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17,8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356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308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A-DQ(ZN)(SR)2Y 12x12E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