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Endkappe für Mikrorohr </w:t>
      </w:r>
      <w:r>
        <w:rPr>
          <w:spacing w:val="-5"/>
        </w:rPr>
        <w:t>6mm</w:t>
      </w:r>
    </w:p>
    <w:p>
      <w:pPr>
        <w:pStyle w:val="BodyText"/>
        <w:spacing w:before="38"/>
      </w:pPr>
      <w:r>
        <w:rPr/>
        <w:t>Ausführung</w:t>
      </w:r>
      <w:r>
        <w:rPr>
          <w:spacing w:val="-11"/>
        </w:rPr>
        <w:t> </w:t>
      </w:r>
      <w:r>
        <w:rPr/>
        <w:t>mit</w:t>
      </w:r>
      <w:r>
        <w:rPr>
          <w:spacing w:val="-11"/>
        </w:rPr>
        <w:t> </w:t>
      </w:r>
      <w:r>
        <w:rPr/>
        <w:t>vorinstalliertem,</w:t>
      </w:r>
      <w:r>
        <w:rPr>
          <w:spacing w:val="-11"/>
        </w:rPr>
        <w:t> </w:t>
      </w:r>
      <w:r>
        <w:rPr/>
        <w:t>wiederverwendbarem</w:t>
      </w:r>
      <w:r>
        <w:rPr>
          <w:spacing w:val="-11"/>
        </w:rPr>
        <w:t> </w:t>
      </w:r>
      <w:r>
        <w:rPr/>
        <w:t>Sicherungsclip</w:t>
      </w:r>
      <w:r>
        <w:rPr>
          <w:spacing w:val="-11"/>
        </w:rPr>
        <w:t> </w:t>
      </w:r>
      <w:r>
        <w:rPr/>
        <w:t>zur</w:t>
      </w:r>
      <w:r>
        <w:rPr>
          <w:spacing w:val="-15"/>
        </w:rPr>
        <w:t> </w:t>
      </w:r>
      <w:r>
        <w:rPr/>
        <w:t>Vermeidung unbeabsichtigter Rohrablösungen.</w:t>
      </w:r>
    </w:p>
    <w:p>
      <w:pPr>
        <w:pStyle w:val="BodyText"/>
        <w:ind w:right="102"/>
      </w:pPr>
      <w:r>
        <w:rPr/>
        <w:t>Gehäuse</w:t>
      </w:r>
      <w:r>
        <w:rPr>
          <w:spacing w:val="-6"/>
        </w:rPr>
        <w:t> </w:t>
      </w:r>
      <w:r>
        <w:rPr/>
        <w:t>aus</w:t>
      </w:r>
      <w:r>
        <w:rPr>
          <w:spacing w:val="-6"/>
        </w:rPr>
        <w:t> </w:t>
      </w:r>
      <w:r>
        <w:rPr/>
        <w:t>transparentem</w:t>
      </w:r>
      <w:r>
        <w:rPr>
          <w:spacing w:val="-6"/>
        </w:rPr>
        <w:t> </w:t>
      </w:r>
      <w:r>
        <w:rPr/>
        <w:t>Kunststoff</w:t>
      </w:r>
      <w:r>
        <w:rPr>
          <w:spacing w:val="-6"/>
        </w:rPr>
        <w:t> </w:t>
      </w:r>
      <w:r>
        <w:rPr/>
        <w:t>zur</w:t>
      </w:r>
      <w:r>
        <w:rPr>
          <w:spacing w:val="-6"/>
        </w:rPr>
        <w:t> </w:t>
      </w:r>
      <w:r>
        <w:rPr/>
        <w:t>visuellen</w:t>
      </w:r>
      <w:r>
        <w:rPr>
          <w:spacing w:val="-6"/>
        </w:rPr>
        <w:t> </w:t>
      </w:r>
      <w:r>
        <w:rPr/>
        <w:t>Kontrolle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Rohrabschlusses. Geeignet für den sicheren</w:t>
      </w:r>
      <w:r>
        <w:rPr>
          <w:spacing w:val="-2"/>
        </w:rPr>
        <w:t> </w:t>
      </w:r>
      <w:r>
        <w:rPr/>
        <w:t>Abschluss und die Wartung von Mikrorohren.</w:t>
      </w:r>
    </w:p>
    <w:p>
      <w:pPr>
        <w:pStyle w:val="BodyText"/>
        <w:spacing w:before="196"/>
        <w:ind w:left="0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54"/>
        <w:gridCol w:w="3688"/>
        <w:gridCol w:w="721"/>
      </w:tblGrid>
      <w:tr>
        <w:trPr>
          <w:trHeight w:val="287" w:hRule="atLeast"/>
        </w:trPr>
        <w:tc>
          <w:tcPr>
            <w:tcW w:w="3954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Außendurchmesser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688" w:type="dxa"/>
          </w:tcPr>
          <w:p>
            <w:pPr>
              <w:pStyle w:val="TableParagraph"/>
              <w:spacing w:line="244" w:lineRule="exact" w:before="0"/>
              <w:ind w:left="446"/>
              <w:rPr>
                <w:sz w:val="22"/>
              </w:rPr>
            </w:pPr>
            <w:r>
              <w:rPr>
                <w:sz w:val="22"/>
              </w:rPr>
              <w:t>13,5 ± </w:t>
            </w:r>
            <w:r>
              <w:rPr>
                <w:spacing w:val="-5"/>
                <w:sz w:val="22"/>
              </w:rPr>
              <w:t>0,2</w:t>
            </w:r>
          </w:p>
        </w:tc>
        <w:tc>
          <w:tcPr>
            <w:tcW w:w="721" w:type="dxa"/>
          </w:tcPr>
          <w:p>
            <w:pPr>
              <w:pStyle w:val="TableParagraph"/>
              <w:spacing w:line="244" w:lineRule="exact" w:before="0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Rohrdurchmesser 1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Länge Verbinder in </w:t>
            </w:r>
            <w:r>
              <w:rPr>
                <w:spacing w:val="-5"/>
                <w:sz w:val="22"/>
              </w:rPr>
              <w:t>mm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14,3 ± </w:t>
            </w:r>
            <w:r>
              <w:rPr>
                <w:spacing w:val="-5"/>
                <w:sz w:val="22"/>
              </w:rPr>
              <w:t>0,5</w:t>
            </w:r>
          </w:p>
        </w:tc>
        <w:tc>
          <w:tcPr>
            <w:tcW w:w="721" w:type="dxa"/>
          </w:tcPr>
          <w:p>
            <w:pPr>
              <w:pStyle w:val="TableParagraph"/>
              <w:ind w:left="313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16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Gewicht Verbinder in </w:t>
            </w:r>
            <w:r>
              <w:rPr>
                <w:spacing w:val="-10"/>
                <w:sz w:val="22"/>
              </w:rPr>
              <w:t>g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3,6 ± </w:t>
            </w:r>
            <w:r>
              <w:rPr>
                <w:spacing w:val="-5"/>
                <w:sz w:val="22"/>
              </w:rPr>
              <w:t>0,1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10"/>
                <w:sz w:val="22"/>
              </w:rPr>
              <w:t>g</w:t>
            </w:r>
          </w:p>
        </w:tc>
      </w:tr>
      <w:tr>
        <w:trPr>
          <w:trHeight w:val="530" w:hRule="atLeast"/>
        </w:trPr>
        <w:tc>
          <w:tcPr>
            <w:tcW w:w="3954" w:type="dxa"/>
          </w:tcPr>
          <w:p>
            <w:pPr>
              <w:pStyle w:val="TableParagraph"/>
              <w:spacing w:before="49"/>
              <w:ind w:left="50"/>
              <w:rPr>
                <w:sz w:val="22"/>
              </w:rPr>
            </w:pPr>
            <w:r>
              <w:rPr>
                <w:sz w:val="22"/>
              </w:rPr>
              <w:t>Material Rohr -Verbinder -</w:t>
            </w:r>
            <w:r>
              <w:rPr>
                <w:spacing w:val="-2"/>
                <w:sz w:val="22"/>
              </w:rPr>
              <w:t>Endkappen</w:t>
            </w:r>
          </w:p>
        </w:tc>
        <w:tc>
          <w:tcPr>
            <w:tcW w:w="3688" w:type="dxa"/>
          </w:tcPr>
          <w:p>
            <w:pPr>
              <w:pStyle w:val="TableParagraph"/>
              <w:spacing w:line="250" w:lineRule="atLeast" w:before="4"/>
              <w:ind w:left="416"/>
              <w:rPr>
                <w:sz w:val="22"/>
              </w:rPr>
            </w:pPr>
            <w:r>
              <w:rPr>
                <w:sz w:val="22"/>
              </w:rPr>
              <w:t>Gehäuse: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Transparent;Ring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/ Entriegelung: POM;Dichtung: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spacing w:line="248" w:lineRule="exact" w:before="0"/>
              <w:ind w:left="416"/>
              <w:rPr>
                <w:sz w:val="22"/>
              </w:rPr>
            </w:pPr>
            <w:r>
              <w:rPr>
                <w:sz w:val="22"/>
              </w:rPr>
              <w:t>NBR;Sperrklaue: </w:t>
            </w:r>
            <w:r>
              <w:rPr>
                <w:spacing w:val="-2"/>
                <w:sz w:val="22"/>
              </w:rPr>
              <w:t>Edelstahl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0"/>
              </w:rPr>
            </w:pPr>
          </w:p>
        </w:tc>
      </w:tr>
      <w:tr>
        <w:trPr>
          <w:trHeight w:val="321" w:hRule="atLeast"/>
        </w:trPr>
        <w:tc>
          <w:tcPr>
            <w:tcW w:w="3954" w:type="dxa"/>
          </w:tcPr>
          <w:p>
            <w:pPr>
              <w:pStyle w:val="TableParagraph"/>
              <w:spacing w:before="24"/>
              <w:ind w:left="80"/>
              <w:rPr>
                <w:sz w:val="22"/>
              </w:rPr>
            </w:pPr>
            <w:r>
              <w:rPr>
                <w:sz w:val="22"/>
              </w:rPr>
              <w:t>Druck im </w:t>
            </w:r>
            <w:r>
              <w:rPr>
                <w:spacing w:val="-2"/>
                <w:sz w:val="22"/>
              </w:rPr>
              <w:t>Betrieb</w:t>
            </w:r>
          </w:p>
        </w:tc>
        <w:tc>
          <w:tcPr>
            <w:tcW w:w="3688" w:type="dxa"/>
          </w:tcPr>
          <w:p>
            <w:pPr>
              <w:pStyle w:val="TableParagraph"/>
              <w:spacing w:before="24"/>
              <w:ind w:left="446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721" w:type="dxa"/>
          </w:tcPr>
          <w:p>
            <w:pPr>
              <w:pStyle w:val="TableParagraph"/>
              <w:spacing w:before="24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max. Druck (bei 20 </w:t>
            </w:r>
            <w:r>
              <w:rPr>
                <w:spacing w:val="-5"/>
                <w:sz w:val="22"/>
              </w:rPr>
              <w:t>°C)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bar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Wassereintrittstest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0,5 bar für 168 </w:t>
            </w:r>
            <w:r>
              <w:rPr>
                <w:spacing w:val="-2"/>
                <w:sz w:val="22"/>
              </w:rPr>
              <w:t>Stunden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Schutzgrad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pacing w:val="-4"/>
                <w:sz w:val="22"/>
              </w:rPr>
              <w:t>IP68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IP</w:t>
            </w: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weitere </w:t>
            </w:r>
            <w:r>
              <w:rPr>
                <w:spacing w:val="-2"/>
                <w:sz w:val="22"/>
              </w:rPr>
              <w:t>Normen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EN50411-2-8, EN50411-2-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Transport/Lagerung</w:t>
            </w: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-45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21" w:type="dxa"/>
          </w:tcPr>
          <w:p>
            <w:pPr>
              <w:pStyle w:val="TableParagraph"/>
              <w:ind w:left="313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530" w:hRule="atLeast"/>
        </w:trPr>
        <w:tc>
          <w:tcPr>
            <w:tcW w:w="3954" w:type="dxa"/>
          </w:tcPr>
          <w:p>
            <w:pPr>
              <w:pStyle w:val="TableParagraph"/>
              <w:ind w:left="80"/>
              <w:rPr>
                <w:sz w:val="22"/>
              </w:rPr>
            </w:pPr>
            <w:r>
              <w:rPr>
                <w:sz w:val="22"/>
              </w:rPr>
              <w:t>Temperaturbereich </w:t>
            </w:r>
            <w:r>
              <w:rPr>
                <w:spacing w:val="-2"/>
                <w:sz w:val="22"/>
              </w:rPr>
              <w:t>Installation</w:t>
            </w:r>
          </w:p>
        </w:tc>
        <w:tc>
          <w:tcPr>
            <w:tcW w:w="3688" w:type="dxa"/>
          </w:tcPr>
          <w:p>
            <w:pPr>
              <w:pStyle w:val="TableParagraph"/>
              <w:ind w:left="446"/>
              <w:rPr>
                <w:sz w:val="22"/>
              </w:rPr>
            </w:pPr>
            <w:r>
              <w:rPr>
                <w:sz w:val="22"/>
              </w:rPr>
              <w:t>-10 bis </w:t>
            </w:r>
            <w:r>
              <w:rPr>
                <w:spacing w:val="-5"/>
                <w:sz w:val="22"/>
              </w:rPr>
              <w:t>50</w:t>
            </w:r>
          </w:p>
        </w:tc>
        <w:tc>
          <w:tcPr>
            <w:tcW w:w="721" w:type="dxa"/>
          </w:tcPr>
          <w:p>
            <w:pPr>
              <w:pStyle w:val="TableParagraph"/>
              <w:ind w:left="328"/>
              <w:rPr>
                <w:sz w:val="22"/>
              </w:rPr>
            </w:pPr>
            <w:r>
              <w:rPr>
                <w:spacing w:val="-5"/>
                <w:sz w:val="22"/>
              </w:rPr>
              <w:t>°C</w:t>
            </w:r>
          </w:p>
        </w:tc>
      </w:tr>
      <w:tr>
        <w:trPr>
          <w:trHeight w:val="654" w:hRule="atLeast"/>
        </w:trPr>
        <w:tc>
          <w:tcPr>
            <w:tcW w:w="3954" w:type="dxa"/>
          </w:tcPr>
          <w:p>
            <w:pPr>
              <w:pStyle w:val="TableParagraph"/>
              <w:spacing w:before="233"/>
              <w:ind w:left="8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688" w:type="dxa"/>
          </w:tcPr>
          <w:p>
            <w:pPr>
              <w:pStyle w:val="TableParagraph"/>
              <w:spacing w:before="233"/>
              <w:ind w:left="446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3954" w:type="dxa"/>
          </w:tcPr>
          <w:p>
            <w:pPr>
              <w:pStyle w:val="TableParagraph"/>
              <w:spacing w:before="158"/>
              <w:ind w:left="8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688" w:type="dxa"/>
          </w:tcPr>
          <w:p>
            <w:pPr>
              <w:pStyle w:val="TableParagraph"/>
              <w:spacing w:before="158"/>
              <w:ind w:left="416"/>
              <w:rPr>
                <w:sz w:val="22"/>
              </w:rPr>
            </w:pPr>
            <w:r>
              <w:rPr>
                <w:sz w:val="22"/>
              </w:rPr>
              <w:t>eku Mikrorohr </w:t>
            </w:r>
            <w:r>
              <w:rPr>
                <w:spacing w:val="-2"/>
                <w:sz w:val="22"/>
              </w:rPr>
              <w:t>Zubehör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Endkappe für Rohr DA </w:t>
            </w:r>
            <w:r>
              <w:rPr>
                <w:spacing w:val="-5"/>
                <w:sz w:val="22"/>
              </w:rPr>
              <w:t>6mm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D1 6; A1 </w:t>
            </w:r>
            <w:r>
              <w:rPr>
                <w:spacing w:val="-2"/>
                <w:sz w:val="22"/>
              </w:rPr>
              <w:t>13,5mm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95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3688" w:type="dxa"/>
          </w:tcPr>
          <w:p>
            <w:pPr>
              <w:pStyle w:val="TableParagraph"/>
              <w:ind w:left="416"/>
              <w:rPr>
                <w:sz w:val="22"/>
              </w:rPr>
            </w:pPr>
            <w:r>
              <w:rPr>
                <w:sz w:val="22"/>
              </w:rPr>
              <w:t>L </w:t>
            </w:r>
            <w:r>
              <w:rPr>
                <w:spacing w:val="-2"/>
                <w:sz w:val="22"/>
              </w:rPr>
              <w:t>14,3mm</w:t>
            </w: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574" w:hRule="atLeast"/>
        </w:trPr>
        <w:tc>
          <w:tcPr>
            <w:tcW w:w="3954" w:type="dxa"/>
          </w:tcPr>
          <w:p>
            <w:pPr>
              <w:pStyle w:val="TableParagraph"/>
              <w:spacing w:before="68"/>
              <w:rPr>
                <w:sz w:val="22"/>
              </w:rPr>
            </w:pPr>
          </w:p>
          <w:p>
            <w:pPr>
              <w:pStyle w:val="TableParagraph"/>
              <w:spacing w:line="233" w:lineRule="exact" w:before="0"/>
              <w:ind w:left="80"/>
              <w:rPr>
                <w:sz w:val="22"/>
              </w:rPr>
            </w:pPr>
            <w:r>
              <w:rPr>
                <w:sz w:val="22"/>
              </w:rPr>
              <w:t>Liefern, </w:t>
            </w:r>
            <w:r>
              <w:rPr>
                <w:spacing w:val="-2"/>
                <w:sz w:val="22"/>
              </w:rPr>
              <w:t>montieren</w:t>
            </w:r>
          </w:p>
        </w:tc>
        <w:tc>
          <w:tcPr>
            <w:tcW w:w="3688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</w:tbl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>
      <w:ind w:left="388"/>
    </w:pPr>
    <w:rPr>
      <w:rFonts w:ascii="Times New Roman" w:hAnsi="Times New Roman" w:eastAsia="Times New Roman" w:cs="Times New Roman"/>
      <w:sz w:val="24"/>
      <w:szCs w:val="24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38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2025-10-30T07:46:05Z</dcterms:created>
  <dcterms:modified xsi:type="dcterms:W3CDTF">2025-10-30T07:46:05Z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Developer Express Inc. DXperience (tm) v23.1.6</vt:lpwstr>
  </property>
</Properties>
</file>