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 für Mikrorohr </w:t>
      </w:r>
      <w:r>
        <w:rPr>
          <w:spacing w:val="-4"/>
        </w:rPr>
        <w:t>18mm</w:t>
      </w:r>
    </w:p>
    <w:p>
      <w:pPr>
        <w:pStyle w:val="BodyText"/>
        <w:spacing w:before="38"/>
      </w:pPr>
      <w:r>
        <w:rPr/>
        <w:t>Ausführung</w:t>
      </w:r>
      <w:r>
        <w:rPr>
          <w:spacing w:val="-11"/>
        </w:rPr>
        <w:t> </w:t>
      </w:r>
      <w:r>
        <w:rPr/>
        <w:t>mit</w:t>
      </w:r>
      <w:r>
        <w:rPr>
          <w:spacing w:val="-11"/>
        </w:rPr>
        <w:t> </w:t>
      </w:r>
      <w:r>
        <w:rPr/>
        <w:t>vorinstalliertem,</w:t>
      </w:r>
      <w:r>
        <w:rPr>
          <w:spacing w:val="-11"/>
        </w:rPr>
        <w:t> </w:t>
      </w:r>
      <w:r>
        <w:rPr/>
        <w:t>wiederverwendbarem</w:t>
      </w:r>
      <w:r>
        <w:rPr>
          <w:spacing w:val="-11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zur</w:t>
      </w:r>
      <w:r>
        <w:rPr>
          <w:spacing w:val="-15"/>
        </w:rPr>
        <w:t> </w:t>
      </w:r>
      <w:r>
        <w:rPr/>
        <w:t>Vermeidung unbeabsichtigter Rohrablösungen.</w:t>
      </w:r>
    </w:p>
    <w:p>
      <w:pPr>
        <w:pStyle w:val="BodyText"/>
        <w:ind w:right="102"/>
      </w:pPr>
      <w:r>
        <w:rPr/>
        <w:t>Gehäuse</w:t>
      </w:r>
      <w:r>
        <w:rPr>
          <w:spacing w:val="-6"/>
        </w:rPr>
        <w:t> </w:t>
      </w:r>
      <w:r>
        <w:rPr/>
        <w:t>aus</w:t>
      </w:r>
      <w:r>
        <w:rPr>
          <w:spacing w:val="-6"/>
        </w:rPr>
        <w:t> </w:t>
      </w:r>
      <w:r>
        <w:rPr/>
        <w:t>transparentem</w:t>
      </w:r>
      <w:r>
        <w:rPr>
          <w:spacing w:val="-6"/>
        </w:rPr>
        <w:t> </w:t>
      </w:r>
      <w:r>
        <w:rPr/>
        <w:t>Kunststoff</w:t>
      </w:r>
      <w:r>
        <w:rPr>
          <w:spacing w:val="-6"/>
        </w:rPr>
        <w:t> </w:t>
      </w:r>
      <w:r>
        <w:rPr/>
        <w:t>zur</w:t>
      </w:r>
      <w:r>
        <w:rPr>
          <w:spacing w:val="-6"/>
        </w:rPr>
        <w:t> </w:t>
      </w:r>
      <w:r>
        <w:rPr/>
        <w:t>visuellen</w:t>
      </w:r>
      <w:r>
        <w:rPr>
          <w:spacing w:val="-6"/>
        </w:rPr>
        <w:t> </w:t>
      </w:r>
      <w:r>
        <w:rPr/>
        <w:t>Kontrolle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Rohrabschlusses. Geeignet für den sicheren</w:t>
      </w:r>
      <w:r>
        <w:rPr>
          <w:spacing w:val="-2"/>
        </w:rPr>
        <w:t> </w:t>
      </w:r>
      <w:r>
        <w:rPr/>
        <w:t>Abschluss und die Wartung von Mikrorohren.</w:t>
      </w:r>
    </w:p>
    <w:p>
      <w:pPr>
        <w:pStyle w:val="BodyText"/>
        <w:spacing w:before="196"/>
        <w:ind w:left="0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3688"/>
        <w:gridCol w:w="721"/>
      </w:tblGrid>
      <w:tr>
        <w:trPr>
          <w:trHeight w:val="287" w:hRule="atLeast"/>
        </w:trPr>
        <w:tc>
          <w:tcPr>
            <w:tcW w:w="3954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spacing w:line="244" w:lineRule="exact" w:before="0"/>
              <w:ind w:left="446"/>
              <w:rPr>
                <w:sz w:val="22"/>
              </w:rPr>
            </w:pPr>
            <w:r>
              <w:rPr>
                <w:sz w:val="22"/>
              </w:rPr>
              <w:t>32,7 ± </w:t>
            </w:r>
            <w:r>
              <w:rPr>
                <w:spacing w:val="-5"/>
                <w:sz w:val="22"/>
              </w:rPr>
              <w:t>0,3</w:t>
            </w:r>
          </w:p>
        </w:tc>
        <w:tc>
          <w:tcPr>
            <w:tcW w:w="721" w:type="dxa"/>
          </w:tcPr>
          <w:p>
            <w:pPr>
              <w:pStyle w:val="TableParagraph"/>
              <w:spacing w:line="244" w:lineRule="exact" w:before="0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27,8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29,8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spacing w:before="49"/>
              <w:ind w:left="5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688" w:type="dxa"/>
          </w:tcPr>
          <w:p>
            <w:pPr>
              <w:pStyle w:val="TableParagraph"/>
              <w:spacing w:line="250" w:lineRule="atLeast" w:before="4"/>
              <w:ind w:left="416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spacing w:line="248" w:lineRule="exact" w:before="0"/>
              <w:ind w:left="416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3954" w:type="dxa"/>
          </w:tcPr>
          <w:p>
            <w:pPr>
              <w:pStyle w:val="TableParagraph"/>
              <w:spacing w:before="24"/>
              <w:ind w:left="8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688" w:type="dxa"/>
          </w:tcPr>
          <w:p>
            <w:pPr>
              <w:pStyle w:val="TableParagraph"/>
              <w:spacing w:before="24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spacing w:before="24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54" w:hRule="atLeast"/>
        </w:trPr>
        <w:tc>
          <w:tcPr>
            <w:tcW w:w="3954" w:type="dxa"/>
          </w:tcPr>
          <w:p>
            <w:pPr>
              <w:pStyle w:val="TableParagraph"/>
              <w:spacing w:before="233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688" w:type="dxa"/>
          </w:tcPr>
          <w:p>
            <w:pPr>
              <w:pStyle w:val="TableParagraph"/>
              <w:spacing w:before="233"/>
              <w:ind w:left="44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54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8"/>
              <w:ind w:left="416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Endkappe für Rohr DA </w:t>
            </w:r>
            <w:r>
              <w:rPr>
                <w:spacing w:val="-4"/>
                <w:sz w:val="22"/>
              </w:rPr>
              <w:t>18mm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D1 18; A1 </w:t>
            </w:r>
            <w:r>
              <w:rPr>
                <w:spacing w:val="-2"/>
                <w:sz w:val="22"/>
              </w:rPr>
              <w:t>32,7mm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L </w:t>
            </w:r>
            <w:r>
              <w:rPr>
                <w:spacing w:val="-2"/>
                <w:sz w:val="22"/>
              </w:rPr>
              <w:t>27,8mm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3954" w:type="dxa"/>
          </w:tcPr>
          <w:p>
            <w:pPr>
              <w:pStyle w:val="TableParagraph"/>
              <w:spacing w:before="68"/>
              <w:rPr>
                <w:sz w:val="22"/>
              </w:rPr>
            </w:pPr>
          </w:p>
          <w:p>
            <w:pPr>
              <w:pStyle w:val="TableParagraph"/>
              <w:spacing w:line="233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Liefern, </w:t>
            </w:r>
            <w:r>
              <w:rPr>
                <w:spacing w:val="-2"/>
                <w:sz w:val="22"/>
              </w:rPr>
              <w:t>montieren</w:t>
            </w:r>
          </w:p>
        </w:tc>
        <w:tc>
          <w:tcPr>
            <w:tcW w:w="3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388"/>
    </w:pPr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2025-10-30T08:26:00Z</dcterms:created>
  <dcterms:modified xsi:type="dcterms:W3CDTF">2025-10-30T08:26:00Z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Developer Express Inc. DXperience (tm) v23.1.6</vt:lpwstr>
  </property>
</Properties>
</file>