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Endkappe für Indoor-Mikrorohr </w:t>
      </w:r>
      <w:r>
        <w:rPr>
          <w:spacing w:val="-4"/>
        </w:rPr>
        <w:t>12mm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Vorinstallierter,</w:t>
      </w:r>
      <w:r>
        <w:rPr>
          <w:spacing w:val="-15"/>
          <w:sz w:val="24"/>
        </w:rPr>
        <w:t> </w:t>
      </w:r>
      <w:r>
        <w:rPr>
          <w:sz w:val="24"/>
        </w:rPr>
        <w:t>wiederverwendbarer</w:t>
      </w:r>
      <w:r>
        <w:rPr>
          <w:spacing w:val="-15"/>
          <w:sz w:val="24"/>
        </w:rPr>
        <w:t> </w:t>
      </w:r>
      <w:r>
        <w:rPr>
          <w:sz w:val="24"/>
        </w:rPr>
        <w:t>Sicherungsclip</w:t>
      </w:r>
      <w:r>
        <w:rPr>
          <w:spacing w:val="-15"/>
          <w:sz w:val="24"/>
        </w:rPr>
        <w:t> </w:t>
      </w:r>
      <w:r>
        <w:rPr>
          <w:sz w:val="24"/>
        </w:rPr>
        <w:t>zur</w:t>
      </w:r>
      <w:r>
        <w:rPr>
          <w:spacing w:val="-15"/>
          <w:sz w:val="24"/>
        </w:rPr>
        <w:t> </w:t>
      </w:r>
      <w:r>
        <w:rPr>
          <w:sz w:val="24"/>
        </w:rPr>
        <w:t>Verhinderung</w:t>
      </w:r>
      <w:r>
        <w:rPr>
          <w:spacing w:val="-15"/>
          <w:sz w:val="24"/>
        </w:rPr>
        <w:t> </w:t>
      </w:r>
      <w:r>
        <w:rPr>
          <w:sz w:val="24"/>
        </w:rPr>
        <w:t>des</w:t>
      </w:r>
      <w:r>
        <w:rPr>
          <w:spacing w:val="-15"/>
          <w:sz w:val="24"/>
        </w:rPr>
        <w:t> </w:t>
      </w:r>
      <w:r>
        <w:rPr>
          <w:sz w:val="24"/>
        </w:rPr>
        <w:t>unbeabsichtigten Lösens von Mikrorohrverbindungen.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Geeignet für die Installation in </w:t>
      </w:r>
      <w:r>
        <w:rPr>
          <w:spacing w:val="-2"/>
          <w:sz w:val="24"/>
        </w:rPr>
        <w:t>Gebäuden.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Transparenter</w:t>
      </w:r>
      <w:r>
        <w:rPr>
          <w:spacing w:val="-7"/>
          <w:sz w:val="24"/>
        </w:rPr>
        <w:t> </w:t>
      </w:r>
      <w:r>
        <w:rPr>
          <w:sz w:val="24"/>
        </w:rPr>
        <w:t>Körper</w:t>
      </w:r>
      <w:r>
        <w:rPr>
          <w:spacing w:val="-7"/>
          <w:sz w:val="24"/>
        </w:rPr>
        <w:t> </w:t>
      </w:r>
      <w:r>
        <w:rPr>
          <w:sz w:val="24"/>
        </w:rPr>
        <w:t>aus</w:t>
      </w:r>
      <w:r>
        <w:rPr>
          <w:spacing w:val="-7"/>
          <w:sz w:val="24"/>
        </w:rPr>
        <w:t> </w:t>
      </w:r>
      <w:r>
        <w:rPr>
          <w:sz w:val="24"/>
        </w:rPr>
        <w:t>halogenfreiem,</w:t>
      </w:r>
      <w:r>
        <w:rPr>
          <w:spacing w:val="-7"/>
          <w:sz w:val="24"/>
        </w:rPr>
        <w:t> </w:t>
      </w:r>
      <w:r>
        <w:rPr>
          <w:sz w:val="24"/>
        </w:rPr>
        <w:t>flammwidrigem</w:t>
      </w:r>
      <w:r>
        <w:rPr>
          <w:spacing w:val="-7"/>
          <w:sz w:val="24"/>
        </w:rPr>
        <w:t> </w:t>
      </w:r>
      <w:r>
        <w:rPr>
          <w:sz w:val="24"/>
        </w:rPr>
        <w:t>Kunststoff</w:t>
      </w:r>
      <w:r>
        <w:rPr>
          <w:spacing w:val="-7"/>
          <w:sz w:val="24"/>
        </w:rPr>
        <w:t> </w:t>
      </w:r>
      <w:r>
        <w:rPr>
          <w:sz w:val="24"/>
        </w:rPr>
        <w:t>(LSZH)</w:t>
      </w:r>
      <w:r>
        <w:rPr>
          <w:spacing w:val="-7"/>
          <w:sz w:val="24"/>
        </w:rPr>
        <w:t> </w:t>
      </w:r>
      <w:r>
        <w:rPr>
          <w:sz w:val="24"/>
        </w:rPr>
        <w:t>zur</w:t>
      </w:r>
      <w:r>
        <w:rPr>
          <w:spacing w:val="-7"/>
          <w:sz w:val="24"/>
        </w:rPr>
        <w:t> </w:t>
      </w:r>
      <w:r>
        <w:rPr>
          <w:sz w:val="24"/>
        </w:rPr>
        <w:t>visuellen Inspektion der Verbindung.</w:t>
      </w:r>
    </w:p>
    <w:p>
      <w:pPr>
        <w:pStyle w:val="BodyText"/>
        <w:spacing w:before="14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  <w:ind w:left="28"/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21,5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  <w:ind w:left="28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33" w:val="left" w:leader="none"/>
        </w:tabs>
        <w:spacing w:before="78"/>
        <w:ind w:left="58"/>
      </w:pPr>
      <w:r>
        <w:rPr/>
        <w:t>Länge Verbinder in </w:t>
      </w:r>
      <w:r>
        <w:rPr>
          <w:spacing w:val="-5"/>
        </w:rPr>
        <w:t>mm</w:t>
      </w:r>
      <w:r>
        <w:rPr/>
        <w:tab/>
        <w:t>52,2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48" w:val="left" w:leader="none"/>
          <w:tab w:pos="7948" w:val="left" w:leader="none"/>
        </w:tabs>
        <w:spacing w:line="330" w:lineRule="atLeast" w:before="1"/>
        <w:ind w:left="28" w:right="939" w:firstLine="30"/>
        <w:rPr>
          <w:position w:val="3"/>
        </w:rPr>
      </w:pPr>
      <w:r>
        <w:rPr/>
        <w:t>Gewicht Verbinder in g</w:t>
        <w:tab/>
        <w:t>11,8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Ring / Entriegelung: POM;Dichtung:</w:t>
      </w:r>
    </w:p>
    <w:p>
      <w:pPr>
        <w:pStyle w:val="BodyText"/>
        <w:spacing w:line="225" w:lineRule="exact"/>
        <w:ind w:left="4348"/>
      </w:pPr>
      <w:r>
        <w:rPr/>
        <w:t>NBR;Sperrklaue: </w:t>
      </w:r>
      <w:r>
        <w:rPr>
          <w:spacing w:val="-2"/>
        </w:rPr>
        <w:t>Edelstahl;Gehäuse:</w:t>
      </w:r>
    </w:p>
    <w:p>
      <w:pPr>
        <w:pStyle w:val="BodyText"/>
        <w:ind w:left="4348"/>
      </w:pPr>
      <w:r>
        <w:rPr/>
        <w:t>Transparenter</w:t>
      </w:r>
      <w:r>
        <w:rPr>
          <w:spacing w:val="-8"/>
        </w:rPr>
        <w:t> </w:t>
      </w:r>
      <w:r>
        <w:rPr/>
        <w:t>LSZH-</w:t>
      </w:r>
      <w:r>
        <w:rPr>
          <w:spacing w:val="-2"/>
        </w:rPr>
        <w:t>Kunststoff</w:t>
      </w:r>
    </w:p>
    <w:p>
      <w:pPr>
        <w:pStyle w:val="BodyText"/>
        <w:tabs>
          <w:tab w:pos="4348" w:val="left" w:leader="none"/>
          <w:tab w:pos="7948" w:val="left" w:leader="none"/>
        </w:tabs>
        <w:spacing w:before="59"/>
        <w:ind w:left="5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378" w:val="left" w:leader="none"/>
        </w:tabs>
        <w:spacing w:before="78"/>
        <w:ind w:left="5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78" w:val="left" w:leader="none"/>
        </w:tabs>
        <w:spacing w:line="213" w:lineRule="auto" w:before="69"/>
        <w:ind w:left="4378" w:right="1219" w:hanging="4290"/>
      </w:pPr>
      <w:r>
        <w:rPr>
          <w:position w:val="-2"/>
        </w:rPr>
        <w:t>weitere Normen</w:t>
        <w:tab/>
      </w:r>
      <w:r>
        <w:rPr>
          <w:spacing w:val="-2"/>
        </w:rPr>
        <w:t>EN50411-2-8,</w:t>
      </w:r>
      <w:r>
        <w:rPr>
          <w:spacing w:val="-5"/>
        </w:rPr>
        <w:t> </w:t>
      </w:r>
      <w:r>
        <w:rPr>
          <w:spacing w:val="-2"/>
        </w:rPr>
        <w:t>EN50411-2-5,</w:t>
      </w:r>
      <w:r>
        <w:rPr>
          <w:spacing w:val="-5"/>
        </w:rPr>
        <w:t> </w:t>
      </w:r>
      <w:r>
        <w:rPr>
          <w:spacing w:val="-2"/>
        </w:rPr>
        <w:t>UL94</w:t>
      </w:r>
      <w:r>
        <w:rPr>
          <w:spacing w:val="-9"/>
        </w:rPr>
        <w:t> </w:t>
      </w:r>
      <w:r>
        <w:rPr>
          <w:spacing w:val="-2"/>
        </w:rPr>
        <w:t>V- </w:t>
      </w:r>
      <w:r>
        <w:rPr>
          <w:spacing w:val="-10"/>
        </w:rPr>
        <w:t>0</w:t>
      </w:r>
    </w:p>
    <w:p>
      <w:pPr>
        <w:pStyle w:val="BodyText"/>
        <w:tabs>
          <w:tab w:pos="4378" w:val="left" w:leader="none"/>
          <w:tab w:pos="7948" w:val="left" w:leader="none"/>
        </w:tabs>
        <w:spacing w:before="65"/>
        <w:ind w:left="58"/>
      </w:pPr>
      <w:r>
        <w:rPr/>
        <w:t>Temperaturbereich </w:t>
      </w:r>
      <w:r>
        <w:rPr>
          <w:spacing w:val="-2"/>
        </w:rPr>
        <w:t>Transport/Lagerung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408" w:val="left" w:leader="none"/>
          <w:tab w:pos="7948" w:val="left" w:leader="none"/>
        </w:tabs>
        <w:spacing w:before="78"/>
        <w:ind w:left="8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spacing w:before="223"/>
      </w:pPr>
    </w:p>
    <w:p>
      <w:pPr>
        <w:pStyle w:val="BodyText"/>
        <w:tabs>
          <w:tab w:pos="4408" w:val="left" w:leader="none"/>
        </w:tabs>
        <w:ind w:left="8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3"/>
      </w:pPr>
    </w:p>
    <w:p>
      <w:pPr>
        <w:pStyle w:val="BodyText"/>
        <w:tabs>
          <w:tab w:pos="4378" w:val="left" w:leader="none"/>
        </w:tabs>
        <w:ind w:left="88"/>
      </w:pPr>
      <w:r>
        <w:rPr>
          <w:spacing w:val="-5"/>
        </w:rPr>
        <w:t>Typ</w:t>
      </w:r>
      <w:r>
        <w:rPr/>
        <w:tab/>
        <w:t>eku Indoor Mikrorohr </w:t>
      </w:r>
      <w:r>
        <w:rPr>
          <w:spacing w:val="-2"/>
        </w:rPr>
        <w:t>Zubehör</w:t>
      </w:r>
    </w:p>
    <w:p>
      <w:pPr>
        <w:pStyle w:val="BodyText"/>
        <w:spacing w:line="314" w:lineRule="auto" w:before="78"/>
        <w:ind w:left="4378" w:right="1736"/>
      </w:pPr>
      <w:r>
        <w:rPr/>
        <w:t>Endkappe</w:t>
      </w:r>
      <w:r>
        <w:rPr>
          <w:spacing w:val="-10"/>
        </w:rPr>
        <w:t> </w:t>
      </w:r>
      <w:r>
        <w:rPr/>
        <w:t>für</w:t>
      </w:r>
      <w:r>
        <w:rPr>
          <w:spacing w:val="-10"/>
        </w:rPr>
        <w:t> </w:t>
      </w:r>
      <w:r>
        <w:rPr/>
        <w:t>Rohr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12mm D1 12mm; A1 21,5mm</w:t>
      </w:r>
    </w:p>
    <w:p>
      <w:pPr>
        <w:pStyle w:val="BodyText"/>
        <w:spacing w:line="253" w:lineRule="exact"/>
        <w:ind w:left="4378"/>
      </w:pPr>
      <w:r>
        <w:rPr/>
        <w:t>L </w:t>
      </w:r>
      <w:r>
        <w:rPr>
          <w:spacing w:val="-2"/>
        </w:rPr>
        <w:t>11,8mm</w:t>
      </w: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2025-11-05T14:14:57Z</dcterms:created>
  <dcterms:modified xsi:type="dcterms:W3CDTF">2025-11-05T14:14:57Z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