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19" Baugruppenträger </w:t>
      </w:r>
      <w:r>
        <w:rPr>
          <w:spacing w:val="-5"/>
        </w:rPr>
        <w:t>4HE</w:t>
      </w:r>
    </w:p>
    <w:p>
      <w:pPr>
        <w:pStyle w:val="BodyText"/>
        <w:spacing w:before="38"/>
        <w:ind w:left="168" w:right="3426"/>
      </w:pPr>
      <w:r>
        <w:rPr/>
        <w:t>Modulares</w:t>
      </w:r>
      <w:r>
        <w:rPr>
          <w:spacing w:val="-8"/>
        </w:rPr>
        <w:t> </w:t>
      </w:r>
      <w:r>
        <w:rPr/>
        <w:t>System</w:t>
      </w:r>
      <w:r>
        <w:rPr>
          <w:spacing w:val="-8"/>
        </w:rPr>
        <w:t> </w:t>
      </w:r>
      <w:r>
        <w:rPr/>
        <w:t>zur</w:t>
      </w:r>
      <w:r>
        <w:rPr>
          <w:spacing w:val="-8"/>
        </w:rPr>
        <w:t> </w:t>
      </w:r>
      <w:r>
        <w:rPr/>
        <w:t>Realisierung</w:t>
      </w:r>
      <w:r>
        <w:rPr>
          <w:spacing w:val="-8"/>
        </w:rPr>
        <w:t> </w:t>
      </w:r>
      <w:r>
        <w:rPr/>
        <w:t>hoher</w:t>
      </w:r>
      <w:r>
        <w:rPr>
          <w:spacing w:val="-8"/>
        </w:rPr>
        <w:t> </w:t>
      </w:r>
      <w:r>
        <w:rPr/>
        <w:t>Portdichten Platz für bis zu 12 Einschübe im Grundgehäuse Integriertes Fach für die Bündeladerreserve (1 HE)</w:t>
      </w:r>
    </w:p>
    <w:p>
      <w:pPr>
        <w:pStyle w:val="BodyText"/>
        <w:ind w:left="168" w:right="1809"/>
      </w:pPr>
      <w:r>
        <w:rPr/>
        <w:t>Montagefreundliche</w:t>
      </w:r>
      <w:r>
        <w:rPr>
          <w:spacing w:val="-10"/>
        </w:rPr>
        <w:t> </w:t>
      </w:r>
      <w:r>
        <w:rPr/>
        <w:t>Einschubtechnik</w:t>
      </w:r>
      <w:r>
        <w:rPr>
          <w:spacing w:val="-10"/>
        </w:rPr>
        <w:t> </w:t>
      </w:r>
      <w:r>
        <w:rPr/>
        <w:t>zur</w:t>
      </w:r>
      <w:r>
        <w:rPr>
          <w:spacing w:val="-14"/>
        </w:rPr>
        <w:t> </w:t>
      </w:r>
      <w:r>
        <w:rPr/>
        <w:t>Verteilung</w:t>
      </w:r>
      <w:r>
        <w:rPr>
          <w:spacing w:val="-10"/>
        </w:rPr>
        <w:t> </w:t>
      </w:r>
      <w:r>
        <w:rPr/>
        <w:t>der</w:t>
      </w:r>
      <w:r>
        <w:rPr>
          <w:spacing w:val="-10"/>
        </w:rPr>
        <w:t> </w:t>
      </w:r>
      <w:r>
        <w:rPr/>
        <w:t>Fasern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Gruppen Einsatz als Trockenmuffe mit Blindabdeckungen möglich</w:t>
      </w:r>
    </w:p>
    <w:p>
      <w:pPr>
        <w:pStyle w:val="BodyText"/>
        <w:rPr>
          <w:sz w:val="20"/>
        </w:rPr>
      </w:pPr>
    </w:p>
    <w:p>
      <w:pPr>
        <w:pStyle w:val="BodyText"/>
        <w:spacing w:before="222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4"/>
        <w:gridCol w:w="3771"/>
        <w:gridCol w:w="1678"/>
      </w:tblGrid>
      <w:tr>
        <w:trPr>
          <w:trHeight w:val="618" w:hRule="atLeast"/>
        </w:trPr>
        <w:tc>
          <w:tcPr>
            <w:tcW w:w="2914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Farbe</w:t>
            </w:r>
          </w:p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3771" w:type="dxa"/>
          </w:tcPr>
          <w:p>
            <w:pPr>
              <w:pStyle w:val="TableParagraph"/>
              <w:spacing w:line="244" w:lineRule="exact" w:before="0"/>
              <w:ind w:left="185" w:right="6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aluminium</w:t>
            </w:r>
          </w:p>
          <w:p>
            <w:pPr>
              <w:pStyle w:val="TableParagraph"/>
              <w:spacing w:before="78"/>
              <w:ind w:left="18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Aluminium</w:t>
            </w:r>
          </w:p>
        </w:tc>
        <w:tc>
          <w:tcPr>
            <w:tcW w:w="167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29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3771" w:type="dxa"/>
          </w:tcPr>
          <w:p>
            <w:pPr>
              <w:pStyle w:val="TableParagraph"/>
              <w:ind w:left="1471"/>
              <w:rPr>
                <w:sz w:val="22"/>
              </w:rPr>
            </w:pPr>
            <w:r>
              <w:rPr>
                <w:spacing w:val="-5"/>
                <w:sz w:val="22"/>
              </w:rPr>
              <w:t>483</w:t>
            </w:r>
          </w:p>
        </w:tc>
        <w:tc>
          <w:tcPr>
            <w:tcW w:w="1678" w:type="dxa"/>
          </w:tcPr>
          <w:p>
            <w:pPr>
              <w:pStyle w:val="TableParagraph"/>
              <w:ind w:left="0" w:right="4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29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3771" w:type="dxa"/>
          </w:tcPr>
          <w:p>
            <w:pPr>
              <w:pStyle w:val="TableParagraph"/>
              <w:ind w:left="1471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  <w:tc>
          <w:tcPr>
            <w:tcW w:w="1678" w:type="dxa"/>
          </w:tcPr>
          <w:p>
            <w:pPr>
              <w:pStyle w:val="TableParagraph"/>
              <w:ind w:left="0" w:right="4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29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3771" w:type="dxa"/>
          </w:tcPr>
          <w:p>
            <w:pPr>
              <w:pStyle w:val="TableParagraph"/>
              <w:ind w:left="1471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1678" w:type="dxa"/>
          </w:tcPr>
          <w:p>
            <w:pPr>
              <w:pStyle w:val="TableParagraph"/>
              <w:ind w:left="0" w:right="4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287" w:hRule="atLeast"/>
        </w:trPr>
        <w:tc>
          <w:tcPr>
            <w:tcW w:w="2914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Höheneinheiten</w:t>
            </w:r>
          </w:p>
        </w:tc>
        <w:tc>
          <w:tcPr>
            <w:tcW w:w="3771" w:type="dxa"/>
          </w:tcPr>
          <w:p>
            <w:pPr>
              <w:pStyle w:val="TableParagraph"/>
              <w:spacing w:line="233" w:lineRule="exact"/>
              <w:ind w:left="147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78" w:type="dxa"/>
          </w:tcPr>
          <w:p>
            <w:pPr>
              <w:pStyle w:val="TableParagraph"/>
              <w:spacing w:line="233" w:lineRule="exact"/>
              <w:ind w:left="0"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HE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6"/>
        <w:rPr>
          <w:sz w:val="22"/>
        </w:rPr>
      </w:pPr>
    </w:p>
    <w:p>
      <w:pPr>
        <w:tabs>
          <w:tab w:pos="4503" w:val="left" w:leader="none"/>
        </w:tabs>
        <w:spacing w:before="0"/>
        <w:ind w:left="168" w:right="0" w:firstLine="0"/>
        <w:jc w:val="left"/>
        <w:rPr>
          <w:sz w:val="22"/>
        </w:rPr>
      </w:pPr>
      <w:r>
        <w:rPr>
          <w:spacing w:val="-2"/>
          <w:sz w:val="22"/>
        </w:rPr>
        <w:t>Fabrikat</w:t>
      </w:r>
      <w:r>
        <w:rPr>
          <w:sz w:val="22"/>
        </w:rPr>
        <w:tab/>
        <w:t>eku oder </w:t>
      </w:r>
      <w:r>
        <w:rPr>
          <w:spacing w:val="-2"/>
          <w:sz w:val="22"/>
        </w:rPr>
        <w:t>gleichwertig</w:t>
      </w:r>
    </w:p>
    <w:p>
      <w:pPr>
        <w:pStyle w:val="BodyText"/>
        <w:spacing w:before="103"/>
        <w:rPr>
          <w:sz w:val="22"/>
        </w:rPr>
      </w:pPr>
    </w:p>
    <w:p>
      <w:pPr>
        <w:tabs>
          <w:tab w:pos="4503" w:val="left" w:leader="none"/>
        </w:tabs>
        <w:spacing w:before="0"/>
        <w:ind w:left="168" w:right="0" w:firstLine="0"/>
        <w:jc w:val="left"/>
        <w:rPr>
          <w:sz w:val="22"/>
        </w:rPr>
      </w:pPr>
      <w:r>
        <w:rPr>
          <w:spacing w:val="-5"/>
          <w:sz w:val="22"/>
        </w:rPr>
        <w:t>Typ</w:t>
      </w:r>
      <w:r>
        <w:rPr>
          <w:sz w:val="22"/>
        </w:rPr>
        <w:tab/>
        <w:t>Fiberpatch K,4HE,Modular </w:t>
      </w:r>
      <w:r>
        <w:rPr>
          <w:spacing w:val="-4"/>
          <w:sz w:val="22"/>
        </w:rPr>
        <w:t>leer</w:t>
      </w:r>
    </w:p>
    <w:p>
      <w:pPr>
        <w:spacing w:before="78"/>
        <w:ind w:left="117" w:right="0" w:firstLine="0"/>
        <w:jc w:val="center"/>
        <w:rPr>
          <w:sz w:val="22"/>
        </w:rPr>
      </w:pPr>
      <w:r>
        <w:rPr>
          <w:spacing w:val="-5"/>
          <w:sz w:val="22"/>
        </w:rPr>
        <w:t>Alu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5"/>
        <w:rPr>
          <w:sz w:val="22"/>
        </w:rPr>
      </w:pPr>
    </w:p>
    <w:p>
      <w:pPr>
        <w:spacing w:before="0"/>
        <w:ind w:left="16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type w:val="continuous"/>
      <w:pgSz w:w="12240" w:h="15840"/>
      <w:pgMar w:top="140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6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50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2025-02-17T12:12:23Z</dcterms:created>
  <dcterms:modified xsi:type="dcterms:W3CDTF">2025-02-17T12:12:23Z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Developer Express Inc. DXperience (tm) v23.1.6</vt:lpwstr>
  </property>
</Properties>
</file>